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822C2" w14:textId="5641CB3C" w:rsidR="0043119A" w:rsidRPr="0043119A" w:rsidRDefault="0043119A" w:rsidP="001B0261">
      <w:pPr>
        <w:spacing w:line="276" w:lineRule="auto"/>
        <w:ind w:firstLine="0"/>
        <w:rPr>
          <w:rFonts w:ascii="Times New Roman" w:hAnsi="Times New Roman" w:cs="Times New Roman"/>
          <w:b/>
          <w:bCs/>
          <w:sz w:val="24"/>
          <w:szCs w:val="24"/>
          <w:lang w:val="fr-FR"/>
        </w:rPr>
      </w:pPr>
      <w:r w:rsidRPr="0043119A">
        <w:rPr>
          <w:rFonts w:ascii="Times New Roman" w:hAnsi="Times New Roman" w:cs="Times New Roman"/>
          <w:b/>
          <w:bCs/>
          <w:sz w:val="24"/>
          <w:szCs w:val="24"/>
          <w:lang w:val="fr-FR"/>
        </w:rPr>
        <w:t xml:space="preserve">Anexa la proiectul H.C.L. Satu Mare nr. </w:t>
      </w:r>
      <w:r w:rsidR="00B57CE8" w:rsidRPr="00B57CE8">
        <w:rPr>
          <w:rFonts w:ascii="Times New Roman" w:hAnsi="Times New Roman" w:cs="Times New Roman"/>
          <w:b/>
          <w:bCs/>
          <w:sz w:val="24"/>
          <w:szCs w:val="24"/>
          <w:lang w:val="fr-FR"/>
        </w:rPr>
        <w:t>57584 / 07.10.2026</w:t>
      </w:r>
    </w:p>
    <w:p w14:paraId="7BFA2A5D" w14:textId="77777777" w:rsidR="0043119A" w:rsidRPr="0043119A" w:rsidRDefault="0043119A" w:rsidP="001B0261">
      <w:pPr>
        <w:spacing w:line="276" w:lineRule="auto"/>
        <w:ind w:firstLine="0"/>
        <w:rPr>
          <w:rFonts w:ascii="Times New Roman" w:hAnsi="Times New Roman" w:cs="Times New Roman"/>
          <w:b/>
          <w:bCs/>
          <w:sz w:val="24"/>
          <w:szCs w:val="24"/>
          <w:lang w:val="fr-FR"/>
        </w:rPr>
      </w:pPr>
    </w:p>
    <w:p w14:paraId="56D6BE2A" w14:textId="77777777" w:rsidR="001F6BF1" w:rsidRPr="0043119A" w:rsidRDefault="00000000" w:rsidP="001B0261">
      <w:pPr>
        <w:spacing w:line="276" w:lineRule="auto"/>
        <w:ind w:firstLine="0"/>
        <w:jc w:val="center"/>
        <w:rPr>
          <w:rFonts w:ascii="Times New Roman" w:hAnsi="Times New Roman" w:cs="Times New Roman"/>
          <w:sz w:val="24"/>
          <w:szCs w:val="24"/>
          <w:lang w:val="fr-FR"/>
        </w:rPr>
      </w:pPr>
      <w:r w:rsidRPr="0043119A">
        <w:rPr>
          <w:rFonts w:ascii="Times New Roman" w:hAnsi="Times New Roman" w:cs="Times New Roman"/>
          <w:b/>
          <w:sz w:val="24"/>
          <w:szCs w:val="24"/>
          <w:lang w:val="fr-FR"/>
        </w:rPr>
        <w:t>STUDIU DE OPORTUNITATE</w:t>
      </w:r>
    </w:p>
    <w:p w14:paraId="074A342B" w14:textId="77777777" w:rsidR="001F6BF1" w:rsidRPr="0043119A" w:rsidRDefault="00000000" w:rsidP="001B0261">
      <w:pPr>
        <w:spacing w:line="276" w:lineRule="auto"/>
        <w:ind w:firstLine="0"/>
        <w:jc w:val="center"/>
        <w:rPr>
          <w:rFonts w:ascii="Times New Roman" w:hAnsi="Times New Roman" w:cs="Times New Roman"/>
          <w:sz w:val="24"/>
          <w:szCs w:val="24"/>
          <w:lang w:val="fr-FR"/>
        </w:rPr>
      </w:pPr>
      <w:r w:rsidRPr="0043119A">
        <w:rPr>
          <w:rFonts w:ascii="Times New Roman" w:hAnsi="Times New Roman" w:cs="Times New Roman"/>
          <w:b/>
          <w:sz w:val="24"/>
          <w:szCs w:val="24"/>
          <w:lang w:val="fr-FR"/>
        </w:rPr>
        <w:t>privind stabilirea modalității gestiunii pentru activitățile de sortare a deșeurilor municipale și de tratare mecanobiologică a deșeurilor reziduale</w:t>
      </w:r>
    </w:p>
    <w:p w14:paraId="14D0E547" w14:textId="7BF5814A" w:rsidR="001F6BF1" w:rsidRPr="0043119A" w:rsidRDefault="00532DE9" w:rsidP="001B0261">
      <w:pPr>
        <w:spacing w:line="276" w:lineRule="auto"/>
        <w:ind w:firstLine="0"/>
        <w:jc w:val="center"/>
        <w:rPr>
          <w:rFonts w:ascii="Times New Roman" w:hAnsi="Times New Roman" w:cs="Times New Roman"/>
          <w:b/>
          <w:sz w:val="24"/>
          <w:szCs w:val="24"/>
        </w:rPr>
      </w:pPr>
      <w:r w:rsidRPr="0043119A">
        <w:rPr>
          <w:rFonts w:ascii="Times New Roman" w:hAnsi="Times New Roman" w:cs="Times New Roman"/>
          <w:b/>
          <w:sz w:val="24"/>
          <w:szCs w:val="24"/>
        </w:rPr>
        <w:t>din MUNICIPIUL SATU MARE</w:t>
      </w:r>
    </w:p>
    <w:p w14:paraId="58ACAEEF" w14:textId="77777777" w:rsidR="00532DE9" w:rsidRPr="0043119A" w:rsidRDefault="00532DE9" w:rsidP="001B0261">
      <w:pPr>
        <w:spacing w:line="276" w:lineRule="auto"/>
        <w:ind w:firstLine="0"/>
        <w:jc w:val="center"/>
        <w:rPr>
          <w:rFonts w:ascii="Times New Roman" w:hAnsi="Times New Roman" w:cs="Times New Roman"/>
          <w:sz w:val="24"/>
          <w:szCs w:val="24"/>
        </w:rPr>
      </w:pPr>
    </w:p>
    <w:p w14:paraId="54DE58C1" w14:textId="40B8BCBD" w:rsidR="001F6BF1" w:rsidRPr="0043119A" w:rsidRDefault="00000000" w:rsidP="001B0261">
      <w:pPr>
        <w:spacing w:line="276" w:lineRule="auto"/>
        <w:ind w:firstLine="851"/>
        <w:rPr>
          <w:rFonts w:ascii="Times New Roman" w:hAnsi="Times New Roman" w:cs="Times New Roman"/>
          <w:b/>
          <w:bCs/>
          <w:sz w:val="24"/>
          <w:szCs w:val="24"/>
          <w:lang w:val="fr-FR"/>
        </w:rPr>
      </w:pPr>
      <w:r w:rsidRPr="0043119A">
        <w:rPr>
          <w:rFonts w:ascii="Times New Roman" w:hAnsi="Times New Roman" w:cs="Times New Roman"/>
          <w:b/>
          <w:bCs/>
          <w:sz w:val="24"/>
          <w:szCs w:val="24"/>
        </w:rPr>
        <w:t>I. INTRODUCERE</w:t>
      </w:r>
      <w:r w:rsidR="001B0261">
        <w:rPr>
          <w:rFonts w:ascii="Times New Roman" w:hAnsi="Times New Roman" w:cs="Times New Roman"/>
          <w:b/>
          <w:bCs/>
          <w:sz w:val="24"/>
          <w:szCs w:val="24"/>
        </w:rPr>
        <w:t>.</w:t>
      </w:r>
      <w:r w:rsidRPr="0043119A">
        <w:rPr>
          <w:rFonts w:ascii="Times New Roman" w:hAnsi="Times New Roman" w:cs="Times New Roman"/>
          <w:b/>
          <w:bCs/>
          <w:sz w:val="24"/>
          <w:szCs w:val="24"/>
        </w:rPr>
        <w:t xml:space="preserve"> </w:t>
      </w:r>
      <w:r w:rsidRPr="0043119A">
        <w:rPr>
          <w:rFonts w:ascii="Times New Roman" w:hAnsi="Times New Roman" w:cs="Times New Roman"/>
          <w:b/>
          <w:bCs/>
          <w:sz w:val="24"/>
          <w:szCs w:val="24"/>
          <w:lang w:val="fr-FR"/>
        </w:rPr>
        <w:t>OBIECTUL ȘI SCOPUL STUDIULUI DE OPORTUNITATE</w:t>
      </w:r>
    </w:p>
    <w:p w14:paraId="70FFD6D3"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Prezentul Studiu de oportunitate este elaborat în vederea fundamentării deciziei Consiliului Local al Municipiului Satu Mare cu privire la modalitatea de gestiune a unor activități componente ale serviciului public de salubrizare, respectiv sortarea deșeurilor municipale colectate separat și tratarea mecanobiologică a deșeurilor reziduale. Studiul constituie documentul de analiză care precede adoptarea hotărârii autorității deliberative și urmărește identificarea soluției juridice, instituționale, tehnice, economice și operaționale adecvate interesului public local.</w:t>
      </w:r>
    </w:p>
    <w:p w14:paraId="5E3B294D"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Necesitatea studiului rezultă din obligația autorității administrației publice locale de a fundamenta alegerea modalității de gestiune prin raportare la natura și starea serviciului, necesitatea asigurării celui mai bun raport preț-calitate, interesele actuale și de perspectivă ale unității administrativ-teritoriale, precum și mărimea și complexitatea sistemului de utilități publice. Aceste criterii nu pot fi analizate izolat, ci trebuie privite în contextul funcționării integrate a fluxului deșeurilor municipale și al obligațiilor de prevenire, reutilizare, reciclare, valorificare și reducere a cantităților eliminate prin depozitare.</w:t>
      </w:r>
    </w:p>
    <w:p w14:paraId="1EAC546E"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Studiul nu are ca obiect modificarea definiției legale a activităților serviciului și nici substituirea documentațiilor tehnice, de autorizare sau tarifare ce vor fi aprobate potrivit legii. El fundamentează modalitatea de gestiune și cadrul instituțional în care activitățile vor fi organizate și prestate, urmând ca regulamentul, caietul de sarcini, indicatorii de performanță, contractul de delegare și tarifele să fie aprobate și actualizate potrivit competențelor legale și mandatului special acordat Asociației.</w:t>
      </w:r>
    </w:p>
    <w:p w14:paraId="542FB130"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 cadrul analizei sunt avute în vedere particularitățile Municipiului Satu Mare, calitatea acestuia de membru al Asociației de Dezvoltare Intercomunitară pentru Managementul Deșeurilor din Județul Satu Mare, existența unui operator regional cu capital integral public – MANAGEMENTUL DEȘEURILOR SATU MARE S.R.L. – și necesitatea integrării sortării și tratării deșeurilor într-un sistem județean coerent, capabil să deservească în condiții unitare mai multe unități administrativ-teritoriale.</w:t>
      </w:r>
    </w:p>
    <w:p w14:paraId="44AD653D" w14:textId="77777777" w:rsidR="001F6BF1" w:rsidRPr="0043119A" w:rsidRDefault="00000000" w:rsidP="001B0261">
      <w:pPr>
        <w:pStyle w:val="HeadingX"/>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II. CADRUL LEGAL ȘI DE REGLEMENTARE</w:t>
      </w:r>
    </w:p>
    <w:p w14:paraId="4B11B717"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Fundamentarea modalității de gestiune se realizează în principal în temeiul Legii nr. 51/2006 a serviciilor comunitare de utilități publice, republicată, cu modificările și completările ulterioare, și al Legii nr. 101/2006 a serviciului de salubrizare a localităților, republicată, cu modificările și completările ulterioare. Aceste acte normative stabilesc competențele autorităților administrației publice locale, formele de gestiune, condițiile organizării serviciilor, rolul asociațiilor de dezvoltare intercomunitară și obligațiile operatorilor.</w:t>
      </w:r>
    </w:p>
    <w:p w14:paraId="01A9D6B5"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 xml:space="preserve">Potrivit cadrului general al Legii nr. 51/2006, autoritățile deliberative ale unităților administrativ-teritoriale au competența de a stabili modalitatea de gestiune a serviciilor de utilități publice, pe baza unui studiu de oportunitate și cu respectarea principiilor autonomiei locale, responsabilității față de utilizatori, eficienței economice, transparenței și protecției mediului. În cazul cooperării intercomunitare, competențe determinate pot fi exercitate prin intermediul unei </w:t>
      </w:r>
      <w:r w:rsidRPr="0043119A">
        <w:rPr>
          <w:rFonts w:ascii="Times New Roman" w:hAnsi="Times New Roman" w:cs="Times New Roman"/>
          <w:sz w:val="24"/>
          <w:szCs w:val="24"/>
          <w:lang w:val="fr-FR"/>
        </w:rPr>
        <w:lastRenderedPageBreak/>
        <w:t>asociații de dezvoltare intercomunitară, în limitele legii, statutului și mandatelor acordate de membrii săi.</w:t>
      </w:r>
    </w:p>
    <w:p w14:paraId="6B9EA010"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Legea nr. 101/2006 definește serviciul de salubrizare ca serviciu comunitar de utilități publice și include între activitățile sale sortarea deșeurilor municipale colectate separat, precum și tratarea mecanobiologică a deșeurilor reziduale, cu operațiunile conexe prevăzute de lege. În consecință, cele două activități analizate nu reprezintă operațiuni izolate, ci componente ale aceluiași serviciu public, care trebuie organizate în corelare cu colectarea separată, transportul, valorificarea și eliminarea finală.</w:t>
      </w:r>
    </w:p>
    <w:p w14:paraId="3F6F7C80"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Sunt relevante, de asemenea, O.U.G. nr. 57/2019 privind Codul administrativ, în special dispozițiile privind cooperarea intercomunitară și atribuțiile consiliului local în domeniul serviciilor de interes local, O.U.G. nr. 92/2021 privind regimul deșeurilor, actele normative privind economia circulară și răspunderea extinsă a producătorului, precum și reglementările A.N.R.S.C. aplicabile serviciului de salubrizare.</w:t>
      </w:r>
    </w:p>
    <w:p w14:paraId="33081517"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La nivelul reglementării sectoriale, documentațiile subsecvente trebuie corelate cu Regulamentul-cadru al serviciului de salubrizare aprobat prin Ordinul președintelui A.N.R.S.C. nr. 97/2025 și cu Caietul de sarcini-cadru aprobat prin Ordinul nr. 98/2025, astfel cum acestea au fost modificate în anul 2026, precum și cu Normele metodologice privind tarifele aprobate prin Ordinul nr. 640/2022, cu modificările și completările ulterioare. Acest cadru confirmă necesitatea unei abordări unitare între organizarea serviciului, cerințele tehnice, indicatorii de performanță și mecanismul tarifar.</w:t>
      </w:r>
    </w:p>
    <w:p w14:paraId="581DDDFC"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 materia tarifelor, principiul esențial este acela al fundamentării pe costuri justificate, eficiente și necesare prestării activității, cu respectarea metodologiilor A.N.R.S.C. și a competențelor de aprobare, ajustare sau modificare. Alegerea gestiunii directe nu înlătură disciplina tarifară, obligațiile de transparență ori controlul de reglementare, ci stabilește forma instituțională prin care serviciul este prestat.</w:t>
      </w:r>
    </w:p>
    <w:p w14:paraId="0CD9E318"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 materia atribuirii către un operator regional cu capital integral public, analiza trebuie să urmărească îndeplinirea condițiilor prevăzute de legislația serviciilor comunitare de utilități publice pentru atribuirea directă, inclusiv condițiile referitoare la controlul exercitat asupra operatorului, caracterul public al capitalului social și desfășurarea activității în realizarea sarcinilor încredințate de autoritățile publice participante. Verificarea și menținerea acestor condiții constituie o obligație continuă pe durata raportului de delegare.</w:t>
      </w:r>
    </w:p>
    <w:p w14:paraId="1DE9BB54" w14:textId="77777777" w:rsidR="001F6BF1" w:rsidRPr="0043119A" w:rsidRDefault="00000000" w:rsidP="001B0261">
      <w:pPr>
        <w:pStyle w:val="HeadingX"/>
        <w:spacing w:line="276" w:lineRule="auto"/>
        <w:ind w:firstLine="851"/>
        <w:jc w:val="center"/>
        <w:rPr>
          <w:rFonts w:ascii="Times New Roman" w:hAnsi="Times New Roman" w:cs="Times New Roman"/>
          <w:sz w:val="24"/>
          <w:szCs w:val="24"/>
          <w:lang w:val="fr-FR"/>
        </w:rPr>
      </w:pPr>
      <w:r w:rsidRPr="0043119A">
        <w:rPr>
          <w:rFonts w:ascii="Times New Roman" w:hAnsi="Times New Roman" w:cs="Times New Roman"/>
          <w:sz w:val="24"/>
          <w:szCs w:val="24"/>
          <w:lang w:val="fr-FR"/>
        </w:rPr>
        <w:t>III. DESCRIEREA ACTIVITĂȚILOR CARE FAC OBIECTUL STUDIULUI</w:t>
      </w:r>
    </w:p>
    <w:p w14:paraId="2AC4546B" w14:textId="77777777" w:rsidR="001F6BF1" w:rsidRPr="0043119A" w:rsidRDefault="00000000" w:rsidP="001B0261">
      <w:pPr>
        <w:pStyle w:val="SubheadingX"/>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3.1. Sortarea deșeurilor municipale colectate separat</w:t>
      </w:r>
    </w:p>
    <w:p w14:paraId="48E74A9D"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Activitatea de sortare analizată privește sortarea deșeurilor de hârtie, carton, metal, plastic și sticlă colectate separat din deșeurile municipale în stații de sortare, inclusiv transportul reziduurilor rezultate din sortare către instalațiile de tratare, depozitele de deșeuri și/sau instalațiile de valorificare, după caz. Finalitatea activității este separarea pe categorii și calități a materialelor valorificabile, pregătirea acestora pentru reciclare sau alte forme de valorificare și reducerea cantității de reziduuri destinate eliminării.</w:t>
      </w:r>
    </w:p>
    <w:p w14:paraId="6C263649"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Performanța sortării depinde în mod direct de calitatea colectării separate, de gradul de impurificare al fracțiilor primite, de tehnologia instalației, de disciplina operațională, de existența unor piețe pentru materialele recuperate și de capacitatea operatorului de a asigura trasabilitatea fluxurilor. Din acest motiv, organizarea sortării trebuie să fie conectată instituțional și informațional cu restul sistemului de gestionare a deșeurilor.</w:t>
      </w:r>
    </w:p>
    <w:p w14:paraId="10FD72C7"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lastRenderedPageBreak/>
        <w:t>Pentru Municipiul Satu Mare, o soluție regională permite corelarea cantităților provenite din municipiu cu cele din alte unități administrativ-teritoriale, ceea ce poate conduce la o utilizare mai constantă a capacităților, la reducerea riscului de subutilizare a instalațiilor și la o poziție operațională mai stabilă în raport cu valorificatorii și reciclatorii.</w:t>
      </w:r>
    </w:p>
    <w:p w14:paraId="6628F144" w14:textId="77777777" w:rsidR="001F6BF1" w:rsidRPr="0043119A" w:rsidRDefault="00000000" w:rsidP="001B0261">
      <w:pPr>
        <w:pStyle w:val="SubheadingX"/>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3.2. Tratarea mecanobiologică a deșeurilor reziduale</w:t>
      </w:r>
    </w:p>
    <w:p w14:paraId="4BBCA7A7"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Tratarea mecanobiologică a deșeurilor reziduale are rolul de a reduce cantitatea și caracterul biodegradabil al deșeurilor care ajung la depozitare și de a separa, acolo unde caracteristicile fluxului permit, fracții care pot fi valorificate material sau energetic. Activitatea include operațiunile mecanice și biologice prevăzute de soluția tehnică autorizată, precum și transportul deșeurilor stabilizate biologic, al reziduurilor care nu mai pot fi valorificate și al fracțiilor valorificabile energetic către destinațiile legale.</w:t>
      </w:r>
    </w:p>
    <w:p w14:paraId="1F78855D"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Tratarea mecanobiologică trebuie privită ca parte a ierarhiei de gestionare a deșeurilor și nu ca substitut al colectării separate și reciclării. O instalație de tratare performantă trebuie exploatată astfel încât să maximizeze recuperarea resurselor și să minimizeze depozitarea, în limitele tehnologice, ale autorizațiilor de mediu și ale standardelor aplicabile.</w:t>
      </w:r>
    </w:p>
    <w:p w14:paraId="6DA11680"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Implementarea concretă a fluxului tehnologic, inclusiv etapizarea investițiilor, capacitățile, randamentele, destinațiile fracțiilor rezultate și momentul începerii fiecărei componente, se va realiza numai în baza documentațiilor tehnice și a autorizațiilor necesare. Studiul de oportunitate nu anticipează emiterea ori revizuirea autorizațiilor de mediu, ci stabilește cadrul de gestiune în care activitatea urmează să fie organizată.</w:t>
      </w:r>
    </w:p>
    <w:p w14:paraId="27703983" w14:textId="77777777" w:rsidR="00532DE9" w:rsidRPr="0043119A" w:rsidRDefault="00532DE9" w:rsidP="001B0261">
      <w:pPr>
        <w:spacing w:line="276" w:lineRule="auto"/>
        <w:ind w:firstLine="851"/>
        <w:rPr>
          <w:rFonts w:ascii="Times New Roman" w:hAnsi="Times New Roman" w:cs="Times New Roman"/>
          <w:sz w:val="24"/>
          <w:szCs w:val="24"/>
          <w:lang w:val="fr-FR"/>
        </w:rPr>
      </w:pPr>
    </w:p>
    <w:p w14:paraId="57E924E9" w14:textId="1DA05D31" w:rsidR="001F6BF1" w:rsidRPr="0043119A" w:rsidRDefault="00000000" w:rsidP="001B0261">
      <w:pPr>
        <w:pStyle w:val="HeadingX"/>
        <w:spacing w:line="276" w:lineRule="auto"/>
        <w:ind w:firstLine="851"/>
        <w:jc w:val="both"/>
        <w:rPr>
          <w:rFonts w:ascii="Times New Roman" w:hAnsi="Times New Roman" w:cs="Times New Roman"/>
          <w:sz w:val="24"/>
          <w:szCs w:val="24"/>
          <w:lang w:val="fr-FR"/>
        </w:rPr>
      </w:pPr>
      <w:r w:rsidRPr="0043119A">
        <w:rPr>
          <w:rFonts w:ascii="Times New Roman" w:hAnsi="Times New Roman" w:cs="Times New Roman"/>
          <w:sz w:val="24"/>
          <w:szCs w:val="24"/>
          <w:lang w:val="fr-FR"/>
        </w:rPr>
        <w:t>IV. SITUAȚIA INSTITUȚIONALĂ ȘI NECESITATEA UNEI ABORDĂRI</w:t>
      </w:r>
      <w:r w:rsidR="00532DE9" w:rsidRPr="0043119A">
        <w:rPr>
          <w:rFonts w:ascii="Times New Roman" w:hAnsi="Times New Roman" w:cs="Times New Roman"/>
          <w:sz w:val="24"/>
          <w:szCs w:val="24"/>
          <w:lang w:val="fr-FR"/>
        </w:rPr>
        <w:t xml:space="preserve"> </w:t>
      </w:r>
      <w:r w:rsidRPr="0043119A">
        <w:rPr>
          <w:rFonts w:ascii="Times New Roman" w:hAnsi="Times New Roman" w:cs="Times New Roman"/>
          <w:sz w:val="24"/>
          <w:szCs w:val="24"/>
          <w:lang w:val="fr-FR"/>
        </w:rPr>
        <w:t>REGIONALE</w:t>
      </w:r>
    </w:p>
    <w:p w14:paraId="2639D497"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Municipiul Satu Mare este membru al Asociației de Dezvoltare Intercomunitară pentru Managementul Deșeurilor din Județul Satu Mare. Asociația reprezintă cadrul instituțional prin care unitățile administrativ-teritoriale membre pot coopera pentru organizarea, reglementarea, monitorizarea și gestionarea în comun a unor activități ale serviciului de salubrizare, în limitele competențelor transferate și ale mandatelor speciale acordate.</w:t>
      </w:r>
    </w:p>
    <w:p w14:paraId="139D6572"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 același sistem instituțional funcționează MANAGEMENTUL DEȘEURILOR SATU MARE S.R.L., societate cu capital social integral deținut de unități administrativ-teritoriale și fără participarea capitalului privat. Operatorul este conceput ca instrument operațional regional, apt să deservească mai multe comunități și să concentreze resurse tehnice, umane și financiare pentru activități care, prin natura lor, au nevoie de scară și continuitate.</w:t>
      </w:r>
    </w:p>
    <w:p w14:paraId="18498FEC"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Sortarea și tratarea mecanobiologică sunt activități pentru care fragmentarea excesivă a responsabilităților poate genera discontinuități, costuri de tranzacție, dificultăți de trasabilitate și necorelări între capacități. Spre deosebire de operațiuni strict locale, aceste activități presupun instalații specializate, fluxuri de intrare și ieșire, contracte de valorificare, monitorizarea randamentelor și gestionarea reziduurilor. Caracterul lor justifică o organizare regională.</w:t>
      </w:r>
    </w:p>
    <w:p w14:paraId="59230B7A"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Prin transferarea în responsabilitatea Asociației a gestiunii activităților analizate, Municipiul Satu Mare nu renunță la interesul și responsabilitatea sa publică, ci le exercită într-un cadru comun, prin mecanismele statutare și prin mandatul acordat reprezentantului său. Controlul democratic și administrativ este menținut prin hotărârile autorității deliberative, prin mandatele speciale și prin participarea la organele Asociației.</w:t>
      </w:r>
    </w:p>
    <w:p w14:paraId="307C30BF"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 xml:space="preserve">Soluția regională urmărește uniformizarea standardelor de serviciu, corelarea regulamentelor și caietelor de sarcini, stabilirea unor indicatori măsurabili, consolidarea capacității </w:t>
      </w:r>
      <w:r w:rsidRPr="0043119A">
        <w:rPr>
          <w:rFonts w:ascii="Times New Roman" w:hAnsi="Times New Roman" w:cs="Times New Roman"/>
          <w:sz w:val="24"/>
          <w:szCs w:val="24"/>
          <w:lang w:val="fr-FR"/>
        </w:rPr>
        <w:lastRenderedPageBreak/>
        <w:t>de monitorizare și evitarea apariției unor soluții tehnice incompatibile între unitățile administrativ-teritoriale. Pentru fluxurile de deșeuri, continuitatea de la colectare până la valorificare sau eliminare este o condiție esențială a eficienței.</w:t>
      </w:r>
    </w:p>
    <w:p w14:paraId="2766D8AB" w14:textId="77777777" w:rsidR="001F6BF1" w:rsidRPr="0043119A" w:rsidRDefault="00000000" w:rsidP="001B0261">
      <w:pPr>
        <w:pStyle w:val="HeadingX"/>
        <w:spacing w:line="276" w:lineRule="auto"/>
        <w:ind w:firstLine="851"/>
        <w:jc w:val="both"/>
        <w:rPr>
          <w:rFonts w:ascii="Times New Roman" w:hAnsi="Times New Roman" w:cs="Times New Roman"/>
          <w:sz w:val="24"/>
          <w:szCs w:val="24"/>
          <w:lang w:val="fr-FR"/>
        </w:rPr>
      </w:pPr>
      <w:r w:rsidRPr="0043119A">
        <w:rPr>
          <w:rFonts w:ascii="Times New Roman" w:hAnsi="Times New Roman" w:cs="Times New Roman"/>
          <w:sz w:val="24"/>
          <w:szCs w:val="24"/>
          <w:lang w:val="fr-FR"/>
        </w:rPr>
        <w:t>V. CRITERIILE LEGALE PENTRU ALEGEREA MODALITĂȚII DE GESTIUNE</w:t>
      </w:r>
    </w:p>
    <w:p w14:paraId="2F92E453" w14:textId="77777777" w:rsidR="001F6BF1" w:rsidRPr="0043119A" w:rsidRDefault="00000000" w:rsidP="001B0261">
      <w:pPr>
        <w:pStyle w:val="SubheadingX"/>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5.1. Natura și starea serviciului</w:t>
      </w:r>
    </w:p>
    <w:p w14:paraId="314E1394"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Natura activităților analizate indică necesitatea unei gestiuni profesioniste, specializate și stabile. Sortarea și tratarea mecanobiologică presupun instalații, echipamente, personal calificat, proceduri de exploatare, monitorizare de mediu, mentenanță, control al calității și relații contractuale cu destinatarii fracțiilor rezultate. Prin urmare, soluția de gestiune trebuie să asigure o structură operațională dedicată și nu o administrare ocazională.</w:t>
      </w:r>
    </w:p>
    <w:p w14:paraId="1B51DCED"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Starea și evoluția serviciului trebuie evaluate și prin prisma necesității dezvoltării sistemului integrat de management al deșeurilor la nivel județean. Creșterea cerințelor privind reciclarea și reducerea depozitării impune trecerea de la o abordare centrată pe eliminare la una orientată către recuperarea resurselor, valorificare și tratare înainte de depozitare. Operatorul regional poate concentra investițiile necesare acestei tranziții.</w:t>
      </w:r>
    </w:p>
    <w:p w14:paraId="2E952081" w14:textId="77777777" w:rsidR="001F6BF1" w:rsidRPr="0043119A" w:rsidRDefault="00000000" w:rsidP="001B0261">
      <w:pPr>
        <w:pStyle w:val="SubheadingX"/>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5.2. Cel mai bun raport preț-calitate</w:t>
      </w:r>
    </w:p>
    <w:p w14:paraId="2A0CB561"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Raportul preț-calitate nu se reduce la alegerea celui mai mic tarif nominal. El presupune compararea costului total al serviciului cu nivelul de performanță, continuitatea, calitatea operațională, gradul de valorificare, capacitatea de investiții, riscurile contractuale și costurile administrative. Un tarif aparent redus poate deveni nefavorabil dacă este asociat cu performanță insuficientă, costuri suplimentare de transport, penalități de mediu ori cantități ridicate depozitate.</w:t>
      </w:r>
    </w:p>
    <w:p w14:paraId="44970CC6"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 gestiunea directă printr-un operator regional public, avantajul potențial constă în posibilitatea de a orienta întreaga structură de cost către îndeplinirea serviciului public și dezvoltarea sistemului, în condițiile disciplinei tarifare impuse de A.N.R.S.C. Economiile de scară, utilizarea comună a capacităților și integrarea logistică pot contribui la eficientizarea costurilor unitare.</w:t>
      </w:r>
    </w:p>
    <w:p w14:paraId="71D1ED28" w14:textId="77777777" w:rsidR="001F6BF1" w:rsidRPr="0043119A" w:rsidRDefault="00000000" w:rsidP="001B0261">
      <w:pPr>
        <w:pStyle w:val="SubheadingX"/>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5.3. Interesele actuale și de perspectivă ale Municipiului Satu Mare</w:t>
      </w:r>
    </w:p>
    <w:p w14:paraId="1D840095"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Interesul actual al Municipiului Satu Mare este asigurarea unui flux legal, continuu și eficient pentru deșeurile reciclabile colectate separat și pentru deșeurile reziduale, astfel încât cantitățile să fie tratate conform cerințelor legale și obiectivelor de mediu. Interesul de perspectivă este dezvoltarea unei infrastructuri regionale capabile să răspundă unor standarde tot mai exigente și să reducă dependența de depozitare.</w:t>
      </w:r>
    </w:p>
    <w:p w14:paraId="6C172114"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Pentru municipiu este relevantă și predictibilitatea instituțională. O soluție regională stabilă permite planificarea investițiilor pe termen mediu și lung, armonizarea deciziilor cu celelalte UAT membre și adaptarea etapizată a capacităților la evoluția cantităților și a obligațiilor legale.</w:t>
      </w:r>
    </w:p>
    <w:p w14:paraId="4E5CEB02" w14:textId="77777777" w:rsidR="001F6BF1" w:rsidRPr="0043119A" w:rsidRDefault="00000000" w:rsidP="001B0261">
      <w:pPr>
        <w:pStyle w:val="SubheadingX"/>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5.4. Mărimea și complexitatea sistemului</w:t>
      </w:r>
    </w:p>
    <w:p w14:paraId="5DB0978C"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Municipiul Satu Mare generează, prin dimensiunea sa și rolul său urban, fluxuri de deșeuri care necesită capacități operaționale semnificative. În același timp, instalațiile de sortare și tratare sunt mai eficiente atunci când deservesc un bazin suficient de mare și relativ stabil. Integrarea municipiului într-o soluție județeană reduce riscul unor capacități izolate și permite planificarea pe baza unui flux agregat.</w:t>
      </w:r>
    </w:p>
    <w:p w14:paraId="5AB2BE4F"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lang w:val="fr-FR"/>
        </w:rPr>
        <w:t xml:space="preserve">Complexitatea sistemului rezultă din numărul de actori, etapele succesive ale gestionării, cerințele de trasabilitate, obligațiile de raportare, relația cu organizațiile care implementează răspunderea extinsă a producătorilor, cu reciclatorii, valorificatorii energetici și operatorii </w:t>
      </w:r>
      <w:r w:rsidRPr="0043119A">
        <w:rPr>
          <w:rFonts w:ascii="Times New Roman" w:hAnsi="Times New Roman" w:cs="Times New Roman"/>
          <w:sz w:val="24"/>
          <w:szCs w:val="24"/>
          <w:lang w:val="fr-FR"/>
        </w:rPr>
        <w:lastRenderedPageBreak/>
        <w:t xml:space="preserve">instalațiilor de eliminare. </w:t>
      </w:r>
      <w:r w:rsidRPr="0043119A">
        <w:rPr>
          <w:rFonts w:ascii="Times New Roman" w:hAnsi="Times New Roman" w:cs="Times New Roman"/>
          <w:sz w:val="24"/>
          <w:szCs w:val="24"/>
        </w:rPr>
        <w:t>Aceste elemente favorizează o structură de coordonare regională și un operator specializat.</w:t>
      </w:r>
    </w:p>
    <w:p w14:paraId="163BBE7C" w14:textId="77777777" w:rsidR="001F6BF1" w:rsidRPr="0043119A" w:rsidRDefault="00000000" w:rsidP="001B0261">
      <w:pPr>
        <w:pStyle w:val="HeadingX"/>
        <w:spacing w:line="276" w:lineRule="auto"/>
        <w:ind w:firstLine="720"/>
        <w:rPr>
          <w:rFonts w:ascii="Times New Roman" w:hAnsi="Times New Roman" w:cs="Times New Roman"/>
          <w:sz w:val="24"/>
          <w:szCs w:val="24"/>
          <w:lang w:val="fr-FR"/>
        </w:rPr>
      </w:pPr>
      <w:r w:rsidRPr="0043119A">
        <w:rPr>
          <w:rFonts w:ascii="Times New Roman" w:hAnsi="Times New Roman" w:cs="Times New Roman"/>
          <w:sz w:val="24"/>
          <w:szCs w:val="24"/>
          <w:lang w:val="fr-FR"/>
        </w:rPr>
        <w:t>VI. MODALITĂȚILE DE GESTIUNE ANALIZATE</w:t>
      </w:r>
    </w:p>
    <w:p w14:paraId="0D075019" w14:textId="77777777" w:rsidR="001F6BF1" w:rsidRPr="0043119A" w:rsidRDefault="00000000" w:rsidP="001B0261">
      <w:pPr>
        <w:pStyle w:val="SubheadingX"/>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6.1. Gestiunea directă</w:t>
      </w:r>
    </w:p>
    <w:p w14:paraId="6C9899A2"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Gestiunea directă reprezintă modalitatea în care autoritățile deliberative își asumă nemijlocit responsabilitatea organizării și funcționării serviciului, în condițiile Legii nr. 51/2006. În configurația analizată, activitățile sunt exercitate în comun prin Asociație și prestate prin operatorul regional MANAGEMENTUL DEȘEURILOR SATU MARE S.R.L., în baza atribuirii directe permise de lege, cu respectarea cumulativă a condițiilor aplicabile.</w:t>
      </w:r>
    </w:p>
    <w:p w14:paraId="354AD1CA"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Caracterul direct al gestiunii nu înseamnă absența unui contract sau a unor obligații de performanță. Dimpotrivă, raporturile dintre Asociație, în numele UAT membre, și operator trebuie formalizate prin contractul de delegare, regulament, caiet de sarcini, indicatori de performanță și mecanisme de monitorizare. Operatorul este supus reglementării A.N.R.S.C., cerințelor de licențiere și disciplinei tarifare.</w:t>
      </w:r>
    </w:p>
    <w:p w14:paraId="125F08A1"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Principalul avantaj instituțional este posibilitatea exercitării unui control public consolidat asupra obiectivelor operatorului, investițiilor, nivelului de serviciu și utilizării infrastructurii. Fiind vorba despre capital integral public, politica societății poate fi orientată către continuitatea și dezvoltarea serviciului public, fără a elimina însă obligația de eficiență economică și de gestiune prudentă.</w:t>
      </w:r>
    </w:p>
    <w:p w14:paraId="62DABE96" w14:textId="77777777" w:rsidR="001F6BF1" w:rsidRPr="0043119A" w:rsidRDefault="00000000" w:rsidP="001B0261">
      <w:pPr>
        <w:pStyle w:val="SubheadingX"/>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6.2. Gestiunea delegată prin procedură concurențială</w:t>
      </w:r>
    </w:p>
    <w:p w14:paraId="7CCE5FDF"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Alternativa analizată este atribuirea gestiunii printr-o procedură concurențială unui operator selectat în condițiile legislației aplicabile. Această modalitate poate valorifica competiția pentru piață și transfera către operator anumite riscuri operaționale și investiționale, în funcție de structura contractului și de documentația de atribuire.</w:t>
      </w:r>
    </w:p>
    <w:p w14:paraId="1440F6FC"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 același timp, pentru activități integrate la nivel regional, o procedură concurențială presupune o documentație complexă, definirea foarte precisă a riscurilor, cantităților și obligațiilor de investiții, precum și costuri și termene procedurale. Modificările ulterioare sunt supuse regulilor aplicabile contractelor de delegare și achizițiilor/concesiunilor, ceea ce poate reduce flexibilitatea în adaptarea rapidă a fluxurilor la modificările legislative și tehnice.</w:t>
      </w:r>
    </w:p>
    <w:p w14:paraId="1B4FD686"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 cazul de față, existența unui operator regional public și opțiunea strategică de consolidare a unui sistem județean integrat fac necesară compararea avantajului concurențial al procedurii cu avantajul controlului public comun și al integrării operaționale oferite de gestiunea directă.</w:t>
      </w:r>
    </w:p>
    <w:p w14:paraId="60E59643" w14:textId="77777777" w:rsidR="001F6BF1" w:rsidRPr="0043119A" w:rsidRDefault="00000000" w:rsidP="001B0261">
      <w:pPr>
        <w:pStyle w:val="HeadingX"/>
        <w:spacing w:line="276" w:lineRule="auto"/>
        <w:ind w:firstLine="851"/>
        <w:jc w:val="center"/>
        <w:rPr>
          <w:rFonts w:ascii="Times New Roman" w:hAnsi="Times New Roman" w:cs="Times New Roman"/>
          <w:sz w:val="24"/>
          <w:szCs w:val="24"/>
        </w:rPr>
      </w:pPr>
      <w:r w:rsidRPr="0043119A">
        <w:rPr>
          <w:rFonts w:ascii="Times New Roman" w:hAnsi="Times New Roman" w:cs="Times New Roman"/>
          <w:sz w:val="24"/>
          <w:szCs w:val="24"/>
        </w:rPr>
        <w:t>VII. ANALIZA COMPARATIVĂ A GESTIUNII DIRECTE ȘI A GESTIUNII DELEGATE</w:t>
      </w:r>
    </w:p>
    <w:tbl>
      <w:tblPr>
        <w:tblStyle w:val="TableGrid"/>
        <w:tblW w:w="0" w:type="auto"/>
        <w:jc w:val="center"/>
        <w:tblLook w:val="04A0" w:firstRow="1" w:lastRow="0" w:firstColumn="1" w:lastColumn="0" w:noHBand="0" w:noVBand="1"/>
      </w:tblPr>
      <w:tblGrid>
        <w:gridCol w:w="3118"/>
        <w:gridCol w:w="3118"/>
        <w:gridCol w:w="3118"/>
      </w:tblGrid>
      <w:tr w:rsidR="001F6BF1" w:rsidRPr="0043119A" w14:paraId="3EC5CDB0" w14:textId="77777777">
        <w:trPr>
          <w:jc w:val="center"/>
        </w:trPr>
        <w:tc>
          <w:tcPr>
            <w:tcW w:w="3118" w:type="dxa"/>
            <w:vAlign w:val="center"/>
          </w:tcPr>
          <w:p w14:paraId="62C28265" w14:textId="77777777" w:rsidR="001F6BF1" w:rsidRPr="0043119A" w:rsidRDefault="00000000" w:rsidP="001B0261">
            <w:pPr>
              <w:spacing w:line="276" w:lineRule="auto"/>
              <w:ind w:firstLine="0"/>
              <w:rPr>
                <w:rFonts w:ascii="Times New Roman" w:hAnsi="Times New Roman" w:cs="Times New Roman"/>
                <w:b/>
                <w:bCs/>
                <w:sz w:val="24"/>
                <w:szCs w:val="24"/>
              </w:rPr>
            </w:pPr>
            <w:r w:rsidRPr="0043119A">
              <w:rPr>
                <w:rFonts w:ascii="Times New Roman" w:hAnsi="Times New Roman" w:cs="Times New Roman"/>
                <w:b/>
                <w:bCs/>
                <w:sz w:val="24"/>
                <w:szCs w:val="24"/>
              </w:rPr>
              <w:t>Criteriu</w:t>
            </w:r>
          </w:p>
        </w:tc>
        <w:tc>
          <w:tcPr>
            <w:tcW w:w="3118" w:type="dxa"/>
            <w:vAlign w:val="center"/>
          </w:tcPr>
          <w:p w14:paraId="5B1158C5" w14:textId="77777777" w:rsidR="001F6BF1" w:rsidRPr="0043119A" w:rsidRDefault="00000000" w:rsidP="001B0261">
            <w:pPr>
              <w:spacing w:line="276" w:lineRule="auto"/>
              <w:ind w:firstLine="0"/>
              <w:rPr>
                <w:rFonts w:ascii="Times New Roman" w:hAnsi="Times New Roman" w:cs="Times New Roman"/>
                <w:b/>
                <w:bCs/>
                <w:sz w:val="24"/>
                <w:szCs w:val="24"/>
              </w:rPr>
            </w:pPr>
            <w:r w:rsidRPr="0043119A">
              <w:rPr>
                <w:rFonts w:ascii="Times New Roman" w:hAnsi="Times New Roman" w:cs="Times New Roman"/>
                <w:b/>
                <w:bCs/>
                <w:sz w:val="24"/>
                <w:szCs w:val="24"/>
              </w:rPr>
              <w:t>Gestiune directă regională</w:t>
            </w:r>
          </w:p>
        </w:tc>
        <w:tc>
          <w:tcPr>
            <w:tcW w:w="3118" w:type="dxa"/>
            <w:vAlign w:val="center"/>
          </w:tcPr>
          <w:p w14:paraId="438775FA" w14:textId="77777777" w:rsidR="001F6BF1" w:rsidRPr="0043119A" w:rsidRDefault="00000000" w:rsidP="001B0261">
            <w:pPr>
              <w:spacing w:line="276" w:lineRule="auto"/>
              <w:ind w:firstLine="0"/>
              <w:jc w:val="center"/>
              <w:rPr>
                <w:rFonts w:ascii="Times New Roman" w:hAnsi="Times New Roman" w:cs="Times New Roman"/>
                <w:b/>
                <w:bCs/>
                <w:sz w:val="24"/>
                <w:szCs w:val="24"/>
              </w:rPr>
            </w:pPr>
            <w:r w:rsidRPr="0043119A">
              <w:rPr>
                <w:rFonts w:ascii="Times New Roman" w:hAnsi="Times New Roman" w:cs="Times New Roman"/>
                <w:b/>
                <w:bCs/>
                <w:sz w:val="24"/>
                <w:szCs w:val="24"/>
              </w:rPr>
              <w:t>Gestiune delegată concurențial</w:t>
            </w:r>
          </w:p>
        </w:tc>
      </w:tr>
      <w:tr w:rsidR="001F6BF1" w:rsidRPr="0043119A" w14:paraId="7982E21C" w14:textId="77777777">
        <w:trPr>
          <w:jc w:val="center"/>
        </w:trPr>
        <w:tc>
          <w:tcPr>
            <w:tcW w:w="3118" w:type="dxa"/>
            <w:vAlign w:val="center"/>
          </w:tcPr>
          <w:p w14:paraId="4570B8EC"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Control public asupra obiectivelor serviciului</w:t>
            </w:r>
          </w:p>
        </w:tc>
        <w:tc>
          <w:tcPr>
            <w:tcW w:w="3118" w:type="dxa"/>
            <w:vAlign w:val="center"/>
          </w:tcPr>
          <w:p w14:paraId="1073035D"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ridicat, exercitat prin UAT/ADI și guvernanța operatorului</w:t>
            </w:r>
          </w:p>
        </w:tc>
        <w:tc>
          <w:tcPr>
            <w:tcW w:w="3118" w:type="dxa"/>
            <w:vAlign w:val="center"/>
          </w:tcPr>
          <w:p w14:paraId="2754C128"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exercitat predominant prin contract și mecanisme de monitorizare</w:t>
            </w:r>
          </w:p>
        </w:tc>
      </w:tr>
      <w:tr w:rsidR="001F6BF1" w:rsidRPr="0043119A" w14:paraId="0F260E52" w14:textId="77777777">
        <w:trPr>
          <w:jc w:val="center"/>
        </w:trPr>
        <w:tc>
          <w:tcPr>
            <w:tcW w:w="3118" w:type="dxa"/>
            <w:vAlign w:val="center"/>
          </w:tcPr>
          <w:p w14:paraId="2D29506C"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Integrare regională</w:t>
            </w:r>
          </w:p>
        </w:tc>
        <w:tc>
          <w:tcPr>
            <w:tcW w:w="3118" w:type="dxa"/>
            <w:vAlign w:val="center"/>
          </w:tcPr>
          <w:p w14:paraId="24FF09A4"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facilitată prin operator unic cu capital public și coordonare ADI</w:t>
            </w:r>
          </w:p>
        </w:tc>
        <w:tc>
          <w:tcPr>
            <w:tcW w:w="3118" w:type="dxa"/>
            <w:vAlign w:val="center"/>
          </w:tcPr>
          <w:p w14:paraId="67219A37"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posibilă, dar dependentă de arhitectura procedurii și contractului</w:t>
            </w:r>
          </w:p>
        </w:tc>
      </w:tr>
      <w:tr w:rsidR="001F6BF1" w:rsidRPr="0043119A" w14:paraId="2D484B49" w14:textId="77777777">
        <w:trPr>
          <w:jc w:val="center"/>
        </w:trPr>
        <w:tc>
          <w:tcPr>
            <w:tcW w:w="3118" w:type="dxa"/>
            <w:vAlign w:val="center"/>
          </w:tcPr>
          <w:p w14:paraId="42000734"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lastRenderedPageBreak/>
              <w:t>Flexibilitate operațională</w:t>
            </w:r>
          </w:p>
        </w:tc>
        <w:tc>
          <w:tcPr>
            <w:tcW w:w="3118" w:type="dxa"/>
            <w:vAlign w:val="center"/>
          </w:tcPr>
          <w:p w14:paraId="16211E33"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mai mare în limitele legii și contractului, prin decizii coordonate public</w:t>
            </w:r>
          </w:p>
        </w:tc>
        <w:tc>
          <w:tcPr>
            <w:tcW w:w="3118" w:type="dxa"/>
            <w:vAlign w:val="center"/>
          </w:tcPr>
          <w:p w14:paraId="0F9048DF"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mai redusă când modificările afectează condițiile atribuirii</w:t>
            </w:r>
          </w:p>
        </w:tc>
      </w:tr>
      <w:tr w:rsidR="001F6BF1" w:rsidRPr="0043119A" w14:paraId="1B07FD5E" w14:textId="77777777">
        <w:trPr>
          <w:jc w:val="center"/>
        </w:trPr>
        <w:tc>
          <w:tcPr>
            <w:tcW w:w="3118" w:type="dxa"/>
            <w:vAlign w:val="center"/>
          </w:tcPr>
          <w:p w14:paraId="497CF2CE"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Economii de scară</w:t>
            </w:r>
          </w:p>
        </w:tc>
        <w:tc>
          <w:tcPr>
            <w:tcW w:w="3118" w:type="dxa"/>
            <w:vAlign w:val="center"/>
          </w:tcPr>
          <w:p w14:paraId="597BA705"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pot fi consolidate prin agregarea fluxurilor mai multor UAT</w:t>
            </w:r>
          </w:p>
        </w:tc>
        <w:tc>
          <w:tcPr>
            <w:tcW w:w="3118" w:type="dxa"/>
            <w:vAlign w:val="center"/>
          </w:tcPr>
          <w:p w14:paraId="77C35104"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depind de oferta și strategia operatorului selectat</w:t>
            </w:r>
          </w:p>
        </w:tc>
      </w:tr>
      <w:tr w:rsidR="001F6BF1" w:rsidRPr="0043119A" w14:paraId="22F3544E" w14:textId="77777777">
        <w:trPr>
          <w:jc w:val="center"/>
        </w:trPr>
        <w:tc>
          <w:tcPr>
            <w:tcW w:w="3118" w:type="dxa"/>
            <w:vAlign w:val="center"/>
          </w:tcPr>
          <w:p w14:paraId="1C8FBCD1"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Orientarea investițiilor</w:t>
            </w:r>
          </w:p>
        </w:tc>
        <w:tc>
          <w:tcPr>
            <w:tcW w:w="3118" w:type="dxa"/>
            <w:vAlign w:val="center"/>
          </w:tcPr>
          <w:p w14:paraId="514B6435"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poate fi corelată direct cu strategia publică regională</w:t>
            </w:r>
          </w:p>
        </w:tc>
        <w:tc>
          <w:tcPr>
            <w:tcW w:w="3118" w:type="dxa"/>
            <w:vAlign w:val="center"/>
          </w:tcPr>
          <w:p w14:paraId="54502DA1"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se stabilește contractual și depinde de alocarea riscurilor</w:t>
            </w:r>
          </w:p>
        </w:tc>
      </w:tr>
      <w:tr w:rsidR="001F6BF1" w:rsidRPr="0043119A" w14:paraId="5A32D1D0" w14:textId="77777777">
        <w:trPr>
          <w:jc w:val="center"/>
        </w:trPr>
        <w:tc>
          <w:tcPr>
            <w:tcW w:w="3118" w:type="dxa"/>
            <w:vAlign w:val="center"/>
          </w:tcPr>
          <w:p w14:paraId="6BF5ED81"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Durata implementării</w:t>
            </w:r>
          </w:p>
        </w:tc>
        <w:tc>
          <w:tcPr>
            <w:tcW w:w="3118" w:type="dxa"/>
            <w:vAlign w:val="center"/>
          </w:tcPr>
          <w:p w14:paraId="54A55E68"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poate fi mai scurtă dacă sunt îndeplinite condițiile atribuirii directe și autorizările</w:t>
            </w:r>
          </w:p>
        </w:tc>
        <w:tc>
          <w:tcPr>
            <w:tcW w:w="3118" w:type="dxa"/>
            <w:vAlign w:val="center"/>
          </w:tcPr>
          <w:p w14:paraId="67238F06"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include durata pregătirii și derulării procedurii concurențiale</w:t>
            </w:r>
          </w:p>
        </w:tc>
      </w:tr>
      <w:tr w:rsidR="001F6BF1" w:rsidRPr="0043119A" w14:paraId="29193D70" w14:textId="77777777">
        <w:trPr>
          <w:jc w:val="center"/>
        </w:trPr>
        <w:tc>
          <w:tcPr>
            <w:tcW w:w="3118" w:type="dxa"/>
            <w:vAlign w:val="center"/>
          </w:tcPr>
          <w:p w14:paraId="6AA80355"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Transparență și control tarifar</w:t>
            </w:r>
          </w:p>
        </w:tc>
        <w:tc>
          <w:tcPr>
            <w:tcW w:w="3118" w:type="dxa"/>
            <w:vAlign w:val="center"/>
          </w:tcPr>
          <w:p w14:paraId="4A94CDDD"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supuse metodologiei A.N.R.S.C. și aprobării competente</w:t>
            </w:r>
          </w:p>
        </w:tc>
        <w:tc>
          <w:tcPr>
            <w:tcW w:w="3118" w:type="dxa"/>
            <w:vAlign w:val="center"/>
          </w:tcPr>
          <w:p w14:paraId="49AA6609"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supuse acelorași reguli sectoriale, plus condițiilor contractuale</w:t>
            </w:r>
          </w:p>
        </w:tc>
      </w:tr>
      <w:tr w:rsidR="001F6BF1" w:rsidRPr="0043119A" w14:paraId="63DB8179" w14:textId="77777777">
        <w:trPr>
          <w:jc w:val="center"/>
        </w:trPr>
        <w:tc>
          <w:tcPr>
            <w:tcW w:w="3118" w:type="dxa"/>
            <w:vAlign w:val="center"/>
          </w:tcPr>
          <w:p w14:paraId="4856C72E"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Risc de fragmentare</w:t>
            </w:r>
          </w:p>
        </w:tc>
        <w:tc>
          <w:tcPr>
            <w:tcW w:w="3118" w:type="dxa"/>
            <w:vAlign w:val="center"/>
          </w:tcPr>
          <w:p w14:paraId="44241337"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redus prin integrarea activităților în aceeași structură regională</w:t>
            </w:r>
          </w:p>
        </w:tc>
        <w:tc>
          <w:tcPr>
            <w:tcW w:w="3118" w:type="dxa"/>
            <w:vAlign w:val="center"/>
          </w:tcPr>
          <w:p w14:paraId="37020736"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poate crește dacă activitățile sau zonele sunt atribuite separat</w:t>
            </w:r>
          </w:p>
        </w:tc>
      </w:tr>
      <w:tr w:rsidR="001F6BF1" w:rsidRPr="0043119A" w14:paraId="72D05AF0" w14:textId="77777777">
        <w:trPr>
          <w:jc w:val="center"/>
        </w:trPr>
        <w:tc>
          <w:tcPr>
            <w:tcW w:w="3118" w:type="dxa"/>
            <w:vAlign w:val="center"/>
          </w:tcPr>
          <w:p w14:paraId="7702FD82"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Continuitate instituțională</w:t>
            </w:r>
          </w:p>
        </w:tc>
        <w:tc>
          <w:tcPr>
            <w:tcW w:w="3118" w:type="dxa"/>
            <w:vAlign w:val="center"/>
          </w:tcPr>
          <w:p w14:paraId="48C45C69"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ridicată prin caracterul public și regional al operatorului</w:t>
            </w:r>
          </w:p>
        </w:tc>
        <w:tc>
          <w:tcPr>
            <w:tcW w:w="3118" w:type="dxa"/>
            <w:vAlign w:val="center"/>
          </w:tcPr>
          <w:p w14:paraId="301A0F79"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dependentă de durata contractului și de rezultatul procedurilor succesive</w:t>
            </w:r>
          </w:p>
        </w:tc>
      </w:tr>
      <w:tr w:rsidR="001F6BF1" w:rsidRPr="0043119A" w14:paraId="2A5A505A" w14:textId="77777777">
        <w:trPr>
          <w:jc w:val="center"/>
        </w:trPr>
        <w:tc>
          <w:tcPr>
            <w:tcW w:w="3118" w:type="dxa"/>
            <w:vAlign w:val="center"/>
          </w:tcPr>
          <w:p w14:paraId="3E3D9C0E"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Capacitate de adaptare la politica publică</w:t>
            </w:r>
          </w:p>
        </w:tc>
        <w:tc>
          <w:tcPr>
            <w:tcW w:w="3118" w:type="dxa"/>
            <w:vAlign w:val="center"/>
          </w:tcPr>
          <w:p w14:paraId="5C988A18"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ridicată, cu respectarea legii și a guvernanței societare</w:t>
            </w:r>
          </w:p>
        </w:tc>
        <w:tc>
          <w:tcPr>
            <w:tcW w:w="3118" w:type="dxa"/>
            <w:vAlign w:val="center"/>
          </w:tcPr>
          <w:p w14:paraId="62F69FB8"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realizabilă în limitele obligațiilor și mecanismelor contractuale</w:t>
            </w:r>
          </w:p>
        </w:tc>
      </w:tr>
    </w:tbl>
    <w:p w14:paraId="65C965DC"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Analiza comparativă indică faptul că ambele modalități sunt instrumente juridice legitime atunci când sunt aplicate cu respectarea condițiilor legale. Alegerea nu poate fi făcută în abstract, ci trebuie raportată la situația concretă a sistemului și la obiectivele Municipiului Satu Mare.</w:t>
      </w:r>
    </w:p>
    <w:p w14:paraId="7A55889A"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Pentru activitățile de sortare și tratare mecanobiologică, factorii cu cea mai mare relevanță sunt integrarea regională, continuitatea fluxurilor, controlul asupra investițiilor și performanței, posibilitatea agregării cantităților și capacitatea de adaptare la cerințele de mediu. Din această perspectivă, gestiunea directă prin operatorul regional public prezintă o compatibilitate mai ridicată cu configurația instituțională existentă și cu obiectivul de dezvoltare a unui sistem județean integrat.</w:t>
      </w:r>
    </w:p>
    <w:p w14:paraId="3E667A6D" w14:textId="77777777" w:rsidR="001F6BF1" w:rsidRPr="0043119A" w:rsidRDefault="00000000" w:rsidP="001B0261">
      <w:pPr>
        <w:pStyle w:val="HeadingX"/>
        <w:spacing w:line="276" w:lineRule="auto"/>
        <w:ind w:firstLine="851"/>
        <w:jc w:val="both"/>
        <w:rPr>
          <w:rFonts w:ascii="Times New Roman" w:hAnsi="Times New Roman" w:cs="Times New Roman"/>
          <w:sz w:val="24"/>
          <w:szCs w:val="24"/>
        </w:rPr>
      </w:pPr>
      <w:r w:rsidRPr="0043119A">
        <w:rPr>
          <w:rFonts w:ascii="Times New Roman" w:hAnsi="Times New Roman" w:cs="Times New Roman"/>
          <w:sz w:val="24"/>
          <w:szCs w:val="24"/>
        </w:rPr>
        <w:t>VIII. ANALIZA TEHNICĂ ȘI OPERAȚIONALĂ</w:t>
      </w:r>
    </w:p>
    <w:p w14:paraId="7C737273"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Soluția de gestiune trebuie să asigure continuitatea fluxului tehnologic de la recepția deșeurilor până la expedierea materialelor valorificabile și a reziduurilor către destinațiile legale. Pentru sortare sunt necesare proceduri de recepție, cântărire, control vizual, separare mecanică și/sau manuală, stocare temporară, balotare ori pregătire pentru transport, evidență a cantităților și control al calității.</w:t>
      </w:r>
    </w:p>
    <w:p w14:paraId="73FA9139"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rPr>
        <w:t xml:space="preserve">Pentru tratarea mecanobiologică sunt necesare operațiuni de pretratare mecanică, separare a fracțiilor, stabilizare biologică potrivit tehnologiei autorizate, control al parametrilor de proces și gestionare distinctă a ieșirilor. </w:t>
      </w:r>
      <w:r w:rsidRPr="0043119A">
        <w:rPr>
          <w:rFonts w:ascii="Times New Roman" w:hAnsi="Times New Roman" w:cs="Times New Roman"/>
          <w:sz w:val="24"/>
          <w:szCs w:val="24"/>
          <w:lang w:val="fr-FR"/>
        </w:rPr>
        <w:t>Configurația exactă va fi determinată prin proiectare, investiții și autorizare, iar exploatarea trebuie să respecte autorizația de mediu și celelalte acte de reglementare aplicabile.</w:t>
      </w:r>
    </w:p>
    <w:p w14:paraId="6EA223D3"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 xml:space="preserve">Operatorul trebuie să dispună de personal calificat, proceduri de sănătate și securitate în muncă, planuri de mentenanță preventivă și corectivă, stocuri minime de piese și consumabile critice </w:t>
      </w:r>
      <w:r w:rsidRPr="0043119A">
        <w:rPr>
          <w:rFonts w:ascii="Times New Roman" w:hAnsi="Times New Roman" w:cs="Times New Roman"/>
          <w:sz w:val="24"/>
          <w:szCs w:val="24"/>
          <w:lang w:val="fr-FR"/>
        </w:rPr>
        <w:lastRenderedPageBreak/>
        <w:t>și capacitatea de a interveni în caz de avarie. Continuitatea activității trebuie protejată prin soluții de rezervă și prin contracte pentru destinațiile fracțiilor rezultate.</w:t>
      </w:r>
    </w:p>
    <w:p w14:paraId="5D455A0D"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Un element central îl reprezintă sistemul de cântărire și trasabilitate. Fiecare flux de intrare și ieșire trebuie identificat, cântărit și înregistrat, astfel încât autoritatea contractantă și operatorul să poată demonstra cantitățile sortate, valorificate, stabilizate și eliminate. Datele trebuie să permită calcularea indicatorilor de performanță și verificarea obligațiilor de raportare.</w:t>
      </w:r>
    </w:p>
    <w:p w14:paraId="489C7D10"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Într-o abordare regională, planificarea capacității trebuie să țină cont de variațiile sezoniere, de evoluția colectării separate, de creșterea captării biodeșeurilor și de reducerea progresivă a fracției reziduale. Instalațiile nu trebuie dimensionate exclusiv pe baza situației unui singur an, ci pe scenarii de evoluție compatibile cu obiectivele de prevenire și reciclare.</w:t>
      </w:r>
    </w:p>
    <w:p w14:paraId="3676AE92"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Integrarea logistică poate reduce transporturile inutile și timpii de așteptare, dacă programarea livrărilor, capacitățile tampon și destinațiile finale sunt coordonate la nivel regional. Operatorul regional are posibilitatea de a optimiza rutele dintre instalații și de a negocia contracte de valorificare pentru cantități agregate.</w:t>
      </w:r>
    </w:p>
    <w:p w14:paraId="0213F621" w14:textId="77777777" w:rsidR="001F6BF1" w:rsidRPr="0043119A" w:rsidRDefault="00000000" w:rsidP="001B0261">
      <w:pPr>
        <w:pStyle w:val="HeadingX"/>
        <w:spacing w:line="276" w:lineRule="auto"/>
        <w:ind w:firstLine="851"/>
        <w:jc w:val="both"/>
        <w:rPr>
          <w:rFonts w:ascii="Times New Roman" w:hAnsi="Times New Roman" w:cs="Times New Roman"/>
          <w:sz w:val="24"/>
          <w:szCs w:val="24"/>
          <w:lang w:val="fr-FR"/>
        </w:rPr>
      </w:pPr>
      <w:r w:rsidRPr="0043119A">
        <w:rPr>
          <w:rFonts w:ascii="Times New Roman" w:hAnsi="Times New Roman" w:cs="Times New Roman"/>
          <w:sz w:val="24"/>
          <w:szCs w:val="24"/>
          <w:lang w:val="fr-FR"/>
        </w:rPr>
        <w:t>IX. ANALIZA ECONOMICĂ ȘI FINANCIARĂ</w:t>
      </w:r>
    </w:p>
    <w:p w14:paraId="52D5F05B"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Analiza economică are ca obiect sustenabilitatea serviciului și capacitatea modalității de gestiune de a asigura un raport rezonabil între costuri și performanță. În lipsa unei documentații tarifare complete aferente viitoarei configurații tehnice, prezentul studiu nu stabilește valori de tarif, acestea urmând să fie fundamentate separat potrivit metodologiei A.N.R.S.C. în vigoare.</w:t>
      </w:r>
    </w:p>
    <w:p w14:paraId="7472BEE1"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Costurile relevante pentru sortare includ, fără a se limita la acestea, costurile cu personalul, energia, mentenanța, consumabilele, manipularea, transportul reziduurilor, amortizarea și/sau redevența, costurile de mediu, asigurările, monitorizarea și cheltuielile administrative justificate. Veniturile sau reducerile de cost asociate valorificării materialelor trebuie reflectate potrivit normelor tarifare și cadrului contractual.</w:t>
      </w:r>
    </w:p>
    <w:p w14:paraId="7111BD30"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Pentru tratarea mecanobiologică, structura de cost include recepția și pretratarea, energia, mentenanța echipamentelor mecanice și biologice, gestionarea aerului și levigatului acolo unde este cazul, monitorizarea parametrilor de proces, transportul și valorificarea fracțiilor recuperate, precum și transportul și eliminarea reziduurilor finale. Costul total trebuie analizat împreună cu economia realizată prin evitarea depozitării unor cantități și prin valorificarea materială sau energetică.</w:t>
      </w:r>
    </w:p>
    <w:p w14:paraId="5093D997"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Economia de scară este relevantă deoarece o parte importantă a costurilor instalațiilor este fixă sau semi-fixă. Distribuirea acestor costuri asupra unui volum regional stabil poate reduce volatilitatea costului unitar. Totodată, agregarea cantităților poate îmbunătăți condițiile contractuale pentru valorificarea materialelor și pentru transporturile pe distanțe mai mari.</w:t>
      </w:r>
    </w:p>
    <w:p w14:paraId="530F5922"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Gestiunea directă prin operator regional nu trebuie confundată cu finanțarea necondiționată a ineficienței. Contractul și indicatorii de performanță trebuie să prevadă obligații clare privind productivitatea, randamentele, disponibilitatea instalațiilor, pierderile, calitatea materialelor și raportarea. Tarifele trebuie fundamentate pe costuri prudente și justificate, iar orice ajustare trebuie să urmeze procedurile legale.</w:t>
      </w:r>
    </w:p>
    <w:p w14:paraId="0EDB610B"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Din perspectiva Municipiului Satu Mare, avantajul economic al soluției regionale constă și în posibilitatea de a evita duplicarea unor investiții costisitoare și de a utiliza în comun infrastructura. În plus, dezvoltarea etapizată a capacităților permite corelarea investițiilor cu fluxurile reale și cu sursele de finanțare disponibile.</w:t>
      </w:r>
    </w:p>
    <w:p w14:paraId="1126A7DC" w14:textId="77777777" w:rsidR="001F6BF1" w:rsidRPr="0043119A" w:rsidRDefault="00000000" w:rsidP="001B0261">
      <w:pPr>
        <w:pStyle w:val="HeadingX"/>
        <w:spacing w:line="276" w:lineRule="auto"/>
        <w:ind w:firstLine="851"/>
        <w:jc w:val="both"/>
        <w:rPr>
          <w:rFonts w:ascii="Times New Roman" w:hAnsi="Times New Roman" w:cs="Times New Roman"/>
          <w:sz w:val="24"/>
          <w:szCs w:val="24"/>
          <w:lang w:val="fr-FR"/>
        </w:rPr>
      </w:pPr>
      <w:r w:rsidRPr="0043119A">
        <w:rPr>
          <w:rFonts w:ascii="Times New Roman" w:hAnsi="Times New Roman" w:cs="Times New Roman"/>
          <w:sz w:val="24"/>
          <w:szCs w:val="24"/>
          <w:lang w:val="fr-FR"/>
        </w:rPr>
        <w:t>X. ANALIZA INSTITUȚIONALĂ ȘI DE GUVERNANȚĂ</w:t>
      </w:r>
    </w:p>
    <w:p w14:paraId="130253A1"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 xml:space="preserve">Pentru ca gestiunea directă să producă avantajele estimate, este necesară o delimitare clară a rolurilor. Consiliul Local al Municipiului Satu Mare stabilește modalitatea de gestiune și acordă </w:t>
      </w:r>
      <w:r w:rsidRPr="0043119A">
        <w:rPr>
          <w:rFonts w:ascii="Times New Roman" w:hAnsi="Times New Roman" w:cs="Times New Roman"/>
          <w:sz w:val="24"/>
          <w:szCs w:val="24"/>
          <w:lang w:val="fr-FR"/>
        </w:rPr>
        <w:lastRenderedPageBreak/>
        <w:t>mandatele necesare; Asociația exercită competențele transferate în numele și pe seama membrilor, în limitele statutului și mandatelor; operatorul regional execută activitățile și răspunde pentru îndeplinirea obligațiilor contractuale și de reglementare.</w:t>
      </w:r>
    </w:p>
    <w:p w14:paraId="5B4EFD83"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Mandatul special trebuie să fie suficient de precis pentru aprobarea documentelor esențiale: contractul de delegare, regulamentul, caietul de sarcini, indicatorii de performanță, tarifele și modificările ulterioare permise de lege. În același timp, mandatul nu poate depăși competențele care pot fi transferate Asociației și trebuie exercitat în numele și pe seama Municipiului Satu Mare.</w:t>
      </w:r>
    </w:p>
    <w:p w14:paraId="00606302"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Controlul asupra operatorului regional trebuie exercitat efectiv, nu numai formal. Acesta presupune mecanisme de guvernanță societară, raportări periodice, aprobarea strategiei și investițiilor în condițiile legii, monitorizarea indicatorilor și posibilitatea aplicării măsurilor contractuale în caz de neperformanță. Caracterul public al capitalului trebuie menținut pe durata în care atribuirea directă se întemeiază pe această condiție.</w:t>
      </w:r>
    </w:p>
    <w:p w14:paraId="0CC30418"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Asociația trebuie să dispună de capacitatea administrativă de a verifica datele transmise de operator, de a urmări cantitățile, tarifele și indicatorii și de a fundamenta deciziile AGA. Un sistem regional performant presupune nu doar un operator tehnic, ci și o autoritate de monitorizare capabilă să exercite activ atribuțiile delegate.</w:t>
      </w:r>
    </w:p>
    <w:p w14:paraId="3080C152" w14:textId="77777777" w:rsidR="001F6BF1" w:rsidRPr="0043119A" w:rsidRDefault="00000000" w:rsidP="001B0261">
      <w:pPr>
        <w:pStyle w:val="HeadingX"/>
        <w:spacing w:line="276" w:lineRule="auto"/>
        <w:ind w:firstLine="851"/>
        <w:jc w:val="center"/>
        <w:rPr>
          <w:rFonts w:ascii="Times New Roman" w:hAnsi="Times New Roman" w:cs="Times New Roman"/>
          <w:sz w:val="24"/>
          <w:szCs w:val="24"/>
          <w:lang w:val="fr-FR"/>
        </w:rPr>
      </w:pPr>
      <w:r w:rsidRPr="0043119A">
        <w:rPr>
          <w:rFonts w:ascii="Times New Roman" w:hAnsi="Times New Roman" w:cs="Times New Roman"/>
          <w:sz w:val="24"/>
          <w:szCs w:val="24"/>
          <w:lang w:val="fr-FR"/>
        </w:rPr>
        <w:t>XI. ANALIZA DE MEDIU ȘI CONTRIBUȚIA LA ECONOMIA CIRCULARĂ</w:t>
      </w:r>
    </w:p>
    <w:p w14:paraId="56853C46"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Obiectivul principal al sortării și tratării este reducerea impactului asupra mediului prin creșterea cantităților valorificate și diminuarea depozitării. Sortarea deșeurilor colectate separat contribuie la recuperarea hârtiei, cartonului, metalului, plasticului și sticlei, în timp ce tratarea rezidualului urmărește recuperarea suplimentară a resurselor și stabilizarea fracției biodegradabile înainte de eliminare.</w:t>
      </w:r>
    </w:p>
    <w:p w14:paraId="50661DB0"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Organizarea activităților într-un sistem integrat permite urmărirea performanței pe întregul lanț și evită optimizările locale care transferă costurile sau impactul către o etapă ulterioară. De exemplu, o sortare insuficientă poate crește cantitatea trimisă la tratare sau depozitare, iar o tratare neperformantă poate majora costurile de eliminare și obligațiile de mediu.</w:t>
      </w:r>
    </w:p>
    <w:p w14:paraId="788DB968"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Operatorul trebuie să urmărească prevenirea poluării, reducerea consumurilor specifice de energie și combustibil, controlul emisiilor și al mirosurilor, gestionarea apelor uzate și a levigatului, precum și respectarea condițiilor din autorizațiile de mediu. Investițiile viitoare trebuie evaluate inclusiv prin prisma eficienței energetice și a reducerii amprentei de carbon.</w:t>
      </w:r>
    </w:p>
    <w:p w14:paraId="700ECE21"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Valorificarea energetică a fracțiilor care nu pot fi reciclate material poate constitui, în condițiile legii și ale calității materialului, o alternativă la depozitare. Aceasta trebuie însă subordonată ierarhiei deșeurilor: prevenirea, reutilizarea și reciclarea au prioritate, iar valorificarea energetică privește fracțiile pentru care reciclarea materială nu este fezabilă în condiții legale și tehnice.</w:t>
      </w:r>
    </w:p>
    <w:p w14:paraId="0306B1DE" w14:textId="77777777" w:rsidR="001F6BF1" w:rsidRPr="0043119A" w:rsidRDefault="00000000" w:rsidP="001B0261">
      <w:pPr>
        <w:pStyle w:val="HeadingX"/>
        <w:spacing w:line="276" w:lineRule="auto"/>
        <w:ind w:firstLine="851"/>
        <w:jc w:val="both"/>
        <w:rPr>
          <w:rFonts w:ascii="Times New Roman" w:hAnsi="Times New Roman" w:cs="Times New Roman"/>
          <w:sz w:val="24"/>
          <w:szCs w:val="24"/>
          <w:lang w:val="fr-FR"/>
        </w:rPr>
      </w:pPr>
      <w:r w:rsidRPr="0043119A">
        <w:rPr>
          <w:rFonts w:ascii="Times New Roman" w:hAnsi="Times New Roman" w:cs="Times New Roman"/>
          <w:sz w:val="24"/>
          <w:szCs w:val="24"/>
          <w:lang w:val="fr-FR"/>
        </w:rPr>
        <w:t>XII. INDICATORI DE PERFORMANȚĂ ȘI MONITORIZARE</w:t>
      </w:r>
    </w:p>
    <w:p w14:paraId="32E23816"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Contractul de delegare și documentația serviciului trebuie să includă indicatori de performanță clari, măsurabili și verificabili. Indicatorii nu trebuie formulați exclusiv descriptiv, ci trebuie asociați cu metode de calcul, surse de date, frecvență de raportare, ținte și consecințe în caz de nerealizare.</w:t>
      </w:r>
    </w:p>
    <w:p w14:paraId="2B8E84CE"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Pentru sortare sunt relevanți indicatori privind cantitatea recepționată, cantitatea de materiale reciclabile recuperată pe categorii, procentul de reziduuri, disponibilitatea instalației, calitatea baloților/materialelor, cantitățile valorificate și trasabilitatea până la destinatar. Țintele concrete vor fi stabilite în documentația contractuală, în concordanță cu cerințele legale aplicabile.</w:t>
      </w:r>
    </w:p>
    <w:p w14:paraId="15899108"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lastRenderedPageBreak/>
        <w:t>Pentru tratarea mecanobiologică sunt relevanți indicatori privind cantitatea tratată, reducerea masei și a biodegradabilității, cantitățile recuperate pentru reciclare sau valorificare energetică, cantitatea finală depozitată, disponibilitatea instalației, consumurile specifice și respectarea parametrilor de mediu.</w:t>
      </w:r>
    </w:p>
    <w:p w14:paraId="598D8A3D"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Monitorizarea trebuie realizată periodic de Asociație pe baza datelor primare verificabile: bonuri de cântar, registre de operare, documente de transport, certificate/documente de valorificare și eliminare, rapoarte de laborator și evidențe de mentenanță. Datele agregate trebuie să permită Municipiului Satu Mare să urmărească efectiv performanța serviciului.</w:t>
      </w:r>
    </w:p>
    <w:p w14:paraId="25FD380E" w14:textId="77777777" w:rsidR="001F6BF1" w:rsidRPr="0043119A" w:rsidRDefault="00000000" w:rsidP="001B0261">
      <w:pPr>
        <w:pStyle w:val="HeadingX"/>
        <w:spacing w:line="276" w:lineRule="auto"/>
        <w:ind w:firstLine="851"/>
        <w:jc w:val="center"/>
        <w:rPr>
          <w:rFonts w:ascii="Times New Roman" w:hAnsi="Times New Roman" w:cs="Times New Roman"/>
          <w:sz w:val="24"/>
          <w:szCs w:val="24"/>
        </w:rPr>
      </w:pPr>
      <w:r w:rsidRPr="0043119A">
        <w:rPr>
          <w:rFonts w:ascii="Times New Roman" w:hAnsi="Times New Roman" w:cs="Times New Roman"/>
          <w:sz w:val="24"/>
          <w:szCs w:val="24"/>
        </w:rPr>
        <w:t>XIII. ANALIZA RISCURILOR</w:t>
      </w:r>
    </w:p>
    <w:tbl>
      <w:tblPr>
        <w:tblStyle w:val="TableGrid"/>
        <w:tblW w:w="0" w:type="auto"/>
        <w:jc w:val="center"/>
        <w:tblLook w:val="04A0" w:firstRow="1" w:lastRow="0" w:firstColumn="1" w:lastColumn="0" w:noHBand="0" w:noVBand="1"/>
      </w:tblPr>
      <w:tblGrid>
        <w:gridCol w:w="3118"/>
        <w:gridCol w:w="3118"/>
        <w:gridCol w:w="3118"/>
      </w:tblGrid>
      <w:tr w:rsidR="001F6BF1" w:rsidRPr="0043119A" w14:paraId="4B8F3BE3" w14:textId="77777777">
        <w:trPr>
          <w:jc w:val="center"/>
        </w:trPr>
        <w:tc>
          <w:tcPr>
            <w:tcW w:w="3118" w:type="dxa"/>
          </w:tcPr>
          <w:p w14:paraId="7E5C2828" w14:textId="77777777" w:rsidR="001F6BF1" w:rsidRPr="0043119A" w:rsidRDefault="00000000" w:rsidP="001B0261">
            <w:pPr>
              <w:spacing w:line="276" w:lineRule="auto"/>
              <w:ind w:firstLine="0"/>
              <w:jc w:val="center"/>
              <w:rPr>
                <w:rFonts w:ascii="Times New Roman" w:hAnsi="Times New Roman" w:cs="Times New Roman"/>
                <w:b/>
                <w:bCs/>
                <w:sz w:val="24"/>
                <w:szCs w:val="24"/>
              </w:rPr>
            </w:pPr>
            <w:r w:rsidRPr="0043119A">
              <w:rPr>
                <w:rFonts w:ascii="Times New Roman" w:hAnsi="Times New Roman" w:cs="Times New Roman"/>
                <w:b/>
                <w:bCs/>
                <w:sz w:val="24"/>
                <w:szCs w:val="24"/>
              </w:rPr>
              <w:t>Risc</w:t>
            </w:r>
          </w:p>
        </w:tc>
        <w:tc>
          <w:tcPr>
            <w:tcW w:w="3118" w:type="dxa"/>
          </w:tcPr>
          <w:p w14:paraId="307D73C7" w14:textId="77777777" w:rsidR="001F6BF1" w:rsidRPr="0043119A" w:rsidRDefault="00000000" w:rsidP="001B0261">
            <w:pPr>
              <w:spacing w:line="276" w:lineRule="auto"/>
              <w:ind w:firstLine="0"/>
              <w:jc w:val="center"/>
              <w:rPr>
                <w:rFonts w:ascii="Times New Roman" w:hAnsi="Times New Roman" w:cs="Times New Roman"/>
                <w:b/>
                <w:bCs/>
                <w:sz w:val="24"/>
                <w:szCs w:val="24"/>
              </w:rPr>
            </w:pPr>
            <w:r w:rsidRPr="0043119A">
              <w:rPr>
                <w:rFonts w:ascii="Times New Roman" w:hAnsi="Times New Roman" w:cs="Times New Roman"/>
                <w:b/>
                <w:bCs/>
                <w:sz w:val="24"/>
                <w:szCs w:val="24"/>
              </w:rPr>
              <w:t>Efect posibil</w:t>
            </w:r>
          </w:p>
        </w:tc>
        <w:tc>
          <w:tcPr>
            <w:tcW w:w="3118" w:type="dxa"/>
          </w:tcPr>
          <w:p w14:paraId="57CF6CD6" w14:textId="77777777" w:rsidR="001F6BF1" w:rsidRPr="0043119A" w:rsidRDefault="00000000" w:rsidP="001B0261">
            <w:pPr>
              <w:spacing w:line="276" w:lineRule="auto"/>
              <w:ind w:firstLine="0"/>
              <w:jc w:val="center"/>
              <w:rPr>
                <w:rFonts w:ascii="Times New Roman" w:hAnsi="Times New Roman" w:cs="Times New Roman"/>
                <w:b/>
                <w:bCs/>
                <w:sz w:val="24"/>
                <w:szCs w:val="24"/>
              </w:rPr>
            </w:pPr>
            <w:r w:rsidRPr="0043119A">
              <w:rPr>
                <w:rFonts w:ascii="Times New Roman" w:hAnsi="Times New Roman" w:cs="Times New Roman"/>
                <w:b/>
                <w:bCs/>
                <w:sz w:val="24"/>
                <w:szCs w:val="24"/>
              </w:rPr>
              <w:t>Măsură principală de control</w:t>
            </w:r>
          </w:p>
        </w:tc>
      </w:tr>
      <w:tr w:rsidR="001F6BF1" w:rsidRPr="0043119A" w14:paraId="22848F58" w14:textId="77777777">
        <w:trPr>
          <w:jc w:val="center"/>
        </w:trPr>
        <w:tc>
          <w:tcPr>
            <w:tcW w:w="3118" w:type="dxa"/>
          </w:tcPr>
          <w:p w14:paraId="50F94DC1"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Risc legislativ</w:t>
            </w:r>
          </w:p>
        </w:tc>
        <w:tc>
          <w:tcPr>
            <w:tcW w:w="3118" w:type="dxa"/>
          </w:tcPr>
          <w:p w14:paraId="0728BA3C"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modificarea țintelor, standardelor ori metodologiilor tarifare</w:t>
            </w:r>
          </w:p>
        </w:tc>
        <w:tc>
          <w:tcPr>
            <w:tcW w:w="3118" w:type="dxa"/>
          </w:tcPr>
          <w:p w14:paraId="407D5076"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clauze de adaptare legală, monitorizare permanentă și actualizarea documentației</w:t>
            </w:r>
          </w:p>
        </w:tc>
      </w:tr>
      <w:tr w:rsidR="001F6BF1" w:rsidRPr="0043119A" w14:paraId="549CA46B" w14:textId="77777777">
        <w:trPr>
          <w:jc w:val="center"/>
        </w:trPr>
        <w:tc>
          <w:tcPr>
            <w:tcW w:w="3118" w:type="dxa"/>
          </w:tcPr>
          <w:p w14:paraId="527BD997"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Risc de cantitate</w:t>
            </w:r>
          </w:p>
        </w:tc>
        <w:tc>
          <w:tcPr>
            <w:tcW w:w="3118" w:type="dxa"/>
          </w:tcPr>
          <w:p w14:paraId="74575FA7"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cantități diferite față de estimări</w:t>
            </w:r>
          </w:p>
        </w:tc>
        <w:tc>
          <w:tcPr>
            <w:tcW w:w="3118" w:type="dxa"/>
          </w:tcPr>
          <w:p w14:paraId="56FD75CA"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planificare regională, scenarii și flexibilizarea capacităților</w:t>
            </w:r>
          </w:p>
        </w:tc>
      </w:tr>
      <w:tr w:rsidR="001F6BF1" w:rsidRPr="0043119A" w14:paraId="277928E6" w14:textId="77777777">
        <w:trPr>
          <w:jc w:val="center"/>
        </w:trPr>
        <w:tc>
          <w:tcPr>
            <w:tcW w:w="3118" w:type="dxa"/>
          </w:tcPr>
          <w:p w14:paraId="185C7524"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Risc tehnologic</w:t>
            </w:r>
          </w:p>
        </w:tc>
        <w:tc>
          <w:tcPr>
            <w:tcW w:w="3118" w:type="dxa"/>
          </w:tcPr>
          <w:p w14:paraId="2E069882"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indisponibilitatea instalațiilor sau randamente sub țintă</w:t>
            </w:r>
          </w:p>
        </w:tc>
        <w:tc>
          <w:tcPr>
            <w:tcW w:w="3118" w:type="dxa"/>
          </w:tcPr>
          <w:p w14:paraId="4E157011"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mentenanță preventivă, redundanță critică, KPI și plan de continuitate</w:t>
            </w:r>
          </w:p>
        </w:tc>
      </w:tr>
      <w:tr w:rsidR="001F6BF1" w:rsidRPr="0043119A" w14:paraId="3AE1C4D2" w14:textId="77777777">
        <w:trPr>
          <w:jc w:val="center"/>
        </w:trPr>
        <w:tc>
          <w:tcPr>
            <w:tcW w:w="3118" w:type="dxa"/>
          </w:tcPr>
          <w:p w14:paraId="6E22C888"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Risc de piață</w:t>
            </w:r>
          </w:p>
        </w:tc>
        <w:tc>
          <w:tcPr>
            <w:tcW w:w="3118" w:type="dxa"/>
          </w:tcPr>
          <w:p w14:paraId="47740676"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scăderea valorii materialelor reciclabile sau dificultăți de valorificare</w:t>
            </w:r>
          </w:p>
        </w:tc>
        <w:tc>
          <w:tcPr>
            <w:tcW w:w="3118" w:type="dxa"/>
          </w:tcPr>
          <w:p w14:paraId="4928BCDA"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contracte diversificate, standarde de calitate și stocare controlată</w:t>
            </w:r>
          </w:p>
        </w:tc>
      </w:tr>
      <w:tr w:rsidR="001F6BF1" w:rsidRPr="0043119A" w14:paraId="53018BE7" w14:textId="77777777">
        <w:trPr>
          <w:jc w:val="center"/>
        </w:trPr>
        <w:tc>
          <w:tcPr>
            <w:tcW w:w="3118" w:type="dxa"/>
          </w:tcPr>
          <w:p w14:paraId="02488D07"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Risc de autorizare</w:t>
            </w:r>
          </w:p>
        </w:tc>
        <w:tc>
          <w:tcPr>
            <w:tcW w:w="3118" w:type="dxa"/>
          </w:tcPr>
          <w:p w14:paraId="3456E5C3"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întârzieri în obținerea/revizuirea actelor de reglementare</w:t>
            </w:r>
          </w:p>
        </w:tc>
        <w:tc>
          <w:tcPr>
            <w:tcW w:w="3118" w:type="dxa"/>
          </w:tcPr>
          <w:p w14:paraId="04B947BB"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planificare etapizată și începerea activităților numai după autorizare</w:t>
            </w:r>
          </w:p>
        </w:tc>
      </w:tr>
      <w:tr w:rsidR="001F6BF1" w:rsidRPr="0043119A" w14:paraId="314EA831" w14:textId="77777777">
        <w:trPr>
          <w:jc w:val="center"/>
        </w:trPr>
        <w:tc>
          <w:tcPr>
            <w:tcW w:w="3118" w:type="dxa"/>
          </w:tcPr>
          <w:p w14:paraId="7D60F4E1"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Risc financiar</w:t>
            </w:r>
          </w:p>
        </w:tc>
        <w:tc>
          <w:tcPr>
            <w:tcW w:w="3118" w:type="dxa"/>
          </w:tcPr>
          <w:p w14:paraId="0B9F6563"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creșterea costurilor cu energia, combustibilul și mentenanța</w:t>
            </w:r>
          </w:p>
        </w:tc>
        <w:tc>
          <w:tcPr>
            <w:tcW w:w="3118" w:type="dxa"/>
          </w:tcPr>
          <w:p w14:paraId="7D012E00"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bugete prudente, eficiență energetică, mecanisme tarifare legale</w:t>
            </w:r>
          </w:p>
        </w:tc>
      </w:tr>
      <w:tr w:rsidR="001F6BF1" w:rsidRPr="0043119A" w14:paraId="75E8A925" w14:textId="77777777">
        <w:trPr>
          <w:jc w:val="center"/>
        </w:trPr>
        <w:tc>
          <w:tcPr>
            <w:tcW w:w="3118" w:type="dxa"/>
          </w:tcPr>
          <w:p w14:paraId="319732BF"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Risc instituțional</w:t>
            </w:r>
          </w:p>
        </w:tc>
        <w:tc>
          <w:tcPr>
            <w:tcW w:w="3118" w:type="dxa"/>
          </w:tcPr>
          <w:p w14:paraId="1082A627"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decizii necorelate între UAT, ADI și operator</w:t>
            </w:r>
          </w:p>
        </w:tc>
        <w:tc>
          <w:tcPr>
            <w:tcW w:w="3118" w:type="dxa"/>
          </w:tcPr>
          <w:p w14:paraId="7F2CD4B2"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mandate clare, calendar decizional și raportare standardizată</w:t>
            </w:r>
          </w:p>
        </w:tc>
      </w:tr>
      <w:tr w:rsidR="001F6BF1" w:rsidRPr="0043119A" w14:paraId="20C8A8B2" w14:textId="77777777">
        <w:trPr>
          <w:jc w:val="center"/>
        </w:trPr>
        <w:tc>
          <w:tcPr>
            <w:tcW w:w="3118" w:type="dxa"/>
          </w:tcPr>
          <w:p w14:paraId="79ADF3A3"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Risc de performanță</w:t>
            </w:r>
          </w:p>
        </w:tc>
        <w:tc>
          <w:tcPr>
            <w:tcW w:w="3118" w:type="dxa"/>
          </w:tcPr>
          <w:p w14:paraId="2168B684"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neatingerea indicatorilor de sortare/tratare</w:t>
            </w:r>
          </w:p>
        </w:tc>
        <w:tc>
          <w:tcPr>
            <w:tcW w:w="3118" w:type="dxa"/>
          </w:tcPr>
          <w:p w14:paraId="492EBAFF" w14:textId="77777777" w:rsidR="001F6BF1" w:rsidRPr="0043119A" w:rsidRDefault="00000000" w:rsidP="001B0261">
            <w:pPr>
              <w:spacing w:line="276" w:lineRule="auto"/>
              <w:ind w:firstLine="0"/>
              <w:rPr>
                <w:rFonts w:ascii="Times New Roman" w:hAnsi="Times New Roman" w:cs="Times New Roman"/>
                <w:sz w:val="24"/>
                <w:szCs w:val="24"/>
                <w:lang w:val="fr-FR"/>
              </w:rPr>
            </w:pPr>
            <w:r w:rsidRPr="0043119A">
              <w:rPr>
                <w:rFonts w:ascii="Times New Roman" w:hAnsi="Times New Roman" w:cs="Times New Roman"/>
                <w:sz w:val="24"/>
                <w:szCs w:val="24"/>
                <w:lang w:val="fr-FR"/>
              </w:rPr>
              <w:t>monitorizare, penalități/măsuri corective și planuri de remediere</w:t>
            </w:r>
          </w:p>
        </w:tc>
      </w:tr>
      <w:tr w:rsidR="001F6BF1" w:rsidRPr="0043119A" w14:paraId="3FE5DDED" w14:textId="77777777">
        <w:trPr>
          <w:jc w:val="center"/>
        </w:trPr>
        <w:tc>
          <w:tcPr>
            <w:tcW w:w="3118" w:type="dxa"/>
          </w:tcPr>
          <w:p w14:paraId="4CFC8942"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Risc de mediu</w:t>
            </w:r>
          </w:p>
        </w:tc>
        <w:tc>
          <w:tcPr>
            <w:tcW w:w="3118" w:type="dxa"/>
          </w:tcPr>
          <w:p w14:paraId="0F2A8597"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emisii, mirosuri, levigat, incidente</w:t>
            </w:r>
          </w:p>
        </w:tc>
        <w:tc>
          <w:tcPr>
            <w:tcW w:w="3118" w:type="dxa"/>
          </w:tcPr>
          <w:p w14:paraId="6D53B8CF"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respectarea autorizațiilor, monitorizare, proceduri de urgență și investiții</w:t>
            </w:r>
          </w:p>
        </w:tc>
      </w:tr>
      <w:tr w:rsidR="001F6BF1" w:rsidRPr="0043119A" w14:paraId="0476C499" w14:textId="77777777">
        <w:trPr>
          <w:jc w:val="center"/>
        </w:trPr>
        <w:tc>
          <w:tcPr>
            <w:tcW w:w="3118" w:type="dxa"/>
          </w:tcPr>
          <w:p w14:paraId="707FA955"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Risc de trasabilitate</w:t>
            </w:r>
          </w:p>
        </w:tc>
        <w:tc>
          <w:tcPr>
            <w:tcW w:w="3118" w:type="dxa"/>
          </w:tcPr>
          <w:p w14:paraId="6C9012B8"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date incomplete privind fluxurile</w:t>
            </w:r>
          </w:p>
        </w:tc>
        <w:tc>
          <w:tcPr>
            <w:tcW w:w="3118" w:type="dxa"/>
          </w:tcPr>
          <w:p w14:paraId="6E2B0BF6" w14:textId="77777777" w:rsidR="001F6BF1" w:rsidRPr="0043119A" w:rsidRDefault="00000000" w:rsidP="001B0261">
            <w:pPr>
              <w:spacing w:line="276" w:lineRule="auto"/>
              <w:ind w:firstLine="0"/>
              <w:rPr>
                <w:rFonts w:ascii="Times New Roman" w:hAnsi="Times New Roman" w:cs="Times New Roman"/>
                <w:sz w:val="24"/>
                <w:szCs w:val="24"/>
              </w:rPr>
            </w:pPr>
            <w:r w:rsidRPr="0043119A">
              <w:rPr>
                <w:rFonts w:ascii="Times New Roman" w:hAnsi="Times New Roman" w:cs="Times New Roman"/>
                <w:sz w:val="24"/>
                <w:szCs w:val="24"/>
              </w:rPr>
              <w:t>cântărire, evidență digitală, audit și reconcilierea cantităților</w:t>
            </w:r>
          </w:p>
        </w:tc>
      </w:tr>
    </w:tbl>
    <w:p w14:paraId="5B60C82B"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 gestiunea directă, o parte mai mare a riscurilor rămâne în sfera publică, direct sau indirect, însă autoritățile beneficiază de un control sporit asupra măsurilor de răspuns. Acest aspect impune profesionalizarea operatorului și a funcției de monitorizare a Asociației.</w:t>
      </w:r>
    </w:p>
    <w:p w14:paraId="2AEC085E"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 xml:space="preserve">Riscurile nu justifică, prin ele însele, alegerea unei anumite modalități de gestiune. Relevante sunt capacitatea de prevenire, alocarea contractuală și costul gestionării fiecărui risc. </w:t>
      </w:r>
      <w:r w:rsidRPr="0043119A">
        <w:rPr>
          <w:rFonts w:ascii="Times New Roman" w:hAnsi="Times New Roman" w:cs="Times New Roman"/>
          <w:sz w:val="24"/>
          <w:szCs w:val="24"/>
          <w:lang w:val="fr-FR"/>
        </w:rPr>
        <w:lastRenderedPageBreak/>
        <w:t>Pentru configurația analizată, integrarea regională permite distribuirea și administrarea mai coerentă a riscurilor tehnice și de cantitate.</w:t>
      </w:r>
    </w:p>
    <w:p w14:paraId="3C09C375" w14:textId="77777777" w:rsidR="001F6BF1" w:rsidRPr="0043119A" w:rsidRDefault="00000000" w:rsidP="001B0261">
      <w:pPr>
        <w:pStyle w:val="HeadingX"/>
        <w:spacing w:line="276" w:lineRule="auto"/>
        <w:ind w:firstLine="851"/>
        <w:jc w:val="both"/>
        <w:rPr>
          <w:rFonts w:ascii="Times New Roman" w:hAnsi="Times New Roman" w:cs="Times New Roman"/>
          <w:sz w:val="24"/>
          <w:szCs w:val="24"/>
        </w:rPr>
      </w:pPr>
      <w:r w:rsidRPr="0043119A">
        <w:rPr>
          <w:rFonts w:ascii="Times New Roman" w:hAnsi="Times New Roman" w:cs="Times New Roman"/>
          <w:sz w:val="24"/>
          <w:szCs w:val="24"/>
        </w:rPr>
        <w:t>XIV. CONDIȚIILE ATRIBUIRII DIRECTE CĂTRE OPERATORUL REGIONAL</w:t>
      </w:r>
    </w:p>
    <w:p w14:paraId="5D9C3A04"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Atribuirea directă către MANAGEMENTUL DEȘEURILOR SATU MARE S.R.L. poate fi realizată numai cu respectarea condițiilor prevăzute de legislația serviciilor comunitare de utilități publice și de regulile aplicabile operatorilor regionali. Caracterul integral public al capitalului social reprezintă o condiție esențială, dar nu este singura condiție care trebuie urmărită.</w:t>
      </w:r>
    </w:p>
    <w:p w14:paraId="4D6A957A"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rPr>
        <w:t xml:space="preserve">Este necesar ca autoritățile publice competente să exercite asupra operatorului un control corespunzător celui exercitat asupra propriilor structuri, în forma permisă de lege, iar activitatea societății să fie orientată în principal către realizarea sarcinilor încredințate de autoritățile publice participante. </w:t>
      </w:r>
      <w:r w:rsidRPr="0043119A">
        <w:rPr>
          <w:rFonts w:ascii="Times New Roman" w:hAnsi="Times New Roman" w:cs="Times New Roman"/>
          <w:sz w:val="24"/>
          <w:szCs w:val="24"/>
          <w:lang w:val="fr-FR"/>
        </w:rPr>
        <w:t>Orice participare de capital privat incompatibilă cu regimul atribuirii directe trebuie exclusă.</w:t>
      </w:r>
    </w:p>
    <w:p w14:paraId="0CF543FD"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 cazul exercitării comune a competențelor prin Asociație, documentele statutare, structura capitalului și mecanismele de control trebuie analizate împreună. Faptul că unități administrativ-teritoriale membre ale Asociației au calitatea de asociați în operatorul regional susține mecanismul de control comun, cu condiția respectării permanente a tuturor cerințelor legale.</w:t>
      </w:r>
    </w:p>
    <w:p w14:paraId="383DEC25"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Contractul de delegare atribuit direct trebuie să conțină aceleași elemente esențiale de protecție a interesului public ca orice contract de delegare: obiect, durată, drepturi și obligații, indicatori, tarife, investiții, regimul bunurilor, monitorizare, răspundere, sancțiuni, continuitate, încetare și predare a activității. Atribuirea directă nu justifică diminuarea exigențelor contractuale.</w:t>
      </w:r>
    </w:p>
    <w:p w14:paraId="3A9919DD" w14:textId="77777777" w:rsidR="001F6BF1" w:rsidRPr="0043119A" w:rsidRDefault="00000000" w:rsidP="001B0261">
      <w:pPr>
        <w:pStyle w:val="HeadingX"/>
        <w:spacing w:line="276" w:lineRule="auto"/>
        <w:ind w:firstLine="851"/>
        <w:jc w:val="both"/>
        <w:rPr>
          <w:rFonts w:ascii="Times New Roman" w:hAnsi="Times New Roman" w:cs="Times New Roman"/>
          <w:sz w:val="24"/>
          <w:szCs w:val="24"/>
          <w:lang w:val="fr-FR"/>
        </w:rPr>
      </w:pPr>
      <w:r w:rsidRPr="0043119A">
        <w:rPr>
          <w:rFonts w:ascii="Times New Roman" w:hAnsi="Times New Roman" w:cs="Times New Roman"/>
          <w:sz w:val="24"/>
          <w:szCs w:val="24"/>
          <w:lang w:val="fr-FR"/>
        </w:rPr>
        <w:t>XV. ROLUL ASOCIAȚIEI DE DEZVOLTARE INTERCOMUNITARĂ ȘI MANDATUL SPECIAL</w:t>
      </w:r>
    </w:p>
    <w:p w14:paraId="1E8205A2"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Asociația de Dezvoltare Intercomunitară pentru Managementul Deșeurilor din Județul Satu Mare constituie mecanismul prin care membrii pot exercita în comun competențe privind activitățile analizate. Transferul responsabilității gestiunii către Asociație trebuie să fie expres, limitat la activitățile indicate și corelat cu statutul acesteia.</w:t>
      </w:r>
    </w:p>
    <w:p w14:paraId="7D1EE33A"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Mandatul special acordat de Municipiul Satu Mare permite Asociației să acționeze în numele și pe seama municipiului pentru atribuirea directă și încheierea contractului, aprobarea documentației serviciului și exercitarea atribuțiilor pentru care legea solicită un mandat prealabil al autorității deliberative. Mandatul reprezintă temeiul democratic și juridic al deciziilor adoptate la nivel asociativ.</w:t>
      </w:r>
    </w:p>
    <w:p w14:paraId="25001DEF"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Pentru asigurarea continuității instituționale, proiectul de hotărâre prevede că mandatele sunt valabile până la retragerea lor expresă prin hotărâre a Consiliului Local. Această formulă evită necesitatea reînnoirii formale a mandatului pentru fiecare act de administrare curentă, fără a limita dreptul Consiliului Local de a modifica sau retrage mandatul în condițiile legii.</w:t>
      </w:r>
    </w:p>
    <w:p w14:paraId="10892907"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Reprezentantul Municipiului Satu Mare în Adunarea Generală a Asociației va susține și va vota hotărârile necesare implementării mandatului. Pentru deciziile care, potrivit legii ori statutului, necesită mandat special distinct sau actualizat, Asociația va solicita în prealabil hotărârea autorității deliberative.</w:t>
      </w:r>
    </w:p>
    <w:p w14:paraId="78F7A4CA" w14:textId="77777777" w:rsidR="001F6BF1" w:rsidRPr="0043119A" w:rsidRDefault="00000000" w:rsidP="001B0261">
      <w:pPr>
        <w:pStyle w:val="HeadingX"/>
        <w:spacing w:line="276" w:lineRule="auto"/>
        <w:ind w:firstLine="851"/>
        <w:jc w:val="both"/>
        <w:rPr>
          <w:rFonts w:ascii="Times New Roman" w:hAnsi="Times New Roman" w:cs="Times New Roman"/>
          <w:sz w:val="24"/>
          <w:szCs w:val="24"/>
          <w:lang w:val="fr-FR"/>
        </w:rPr>
      </w:pPr>
      <w:r w:rsidRPr="0043119A">
        <w:rPr>
          <w:rFonts w:ascii="Times New Roman" w:hAnsi="Times New Roman" w:cs="Times New Roman"/>
          <w:sz w:val="24"/>
          <w:szCs w:val="24"/>
          <w:lang w:val="fr-FR"/>
        </w:rPr>
        <w:t>XVI. DOCUMENTAȚIA SUBSECVENTĂ ȘI CERINȚELE DE IMPLEMENTARE</w:t>
      </w:r>
    </w:p>
    <w:p w14:paraId="4F79E2E0"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După aprobarea modalității de gestiune, implementarea necesită elaborarea sau actualizarea contractului de delegare, regulamentului serviciului, caietului de sarcini și indicatorilor de performanță. Aceste documente trebuie să fie reciproc coerente și să descrie aceleași activități, aceleași fluxuri, responsabilități și standarde de performanță.</w:t>
      </w:r>
    </w:p>
    <w:p w14:paraId="12019135"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lastRenderedPageBreak/>
        <w:t>Regulamentul va stabili regulile generale de prestare, drepturile și obligațiile operatorului și utilizatorilor/beneficiarilor instituționali, condițiile de acces la instalații, cerințele de protecție a mediului și regulile de monitorizare. Caietul de sarcini va detalia cerințele tehnice și operaționale, capacitățile, programul, echipamentele, personalul, raportarea și condițiile de continuitate.</w:t>
      </w:r>
    </w:p>
    <w:p w14:paraId="612C4BF5"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Contractul va integra obligațiile de investiții și calendarul acestora, acolo unde sunt aplicabile, și va condiționa începerea activităților de existența licențelor, autorizațiilor și celorlalte acte de reglementare necesare. Nicio prevedere contractuală nu poate substitui o autorizație administrativă sau de mediu.</w:t>
      </w:r>
    </w:p>
    <w:p w14:paraId="7B6AEE8F"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Tarifele vor fi fundamentate separat, pe activități, conform metodologiei A.N.R.S.C. în vigoare. Documentația tarifară trebuie să permită identificarea costurilor eficiente și să evite transferul nejustificat de costuri între activități. Aprobarea, ajustarea sau modificarea tarifelor va fi realizată de autoritatea competentă potrivit legii și mandatului acordat.</w:t>
      </w:r>
    </w:p>
    <w:p w14:paraId="504EEE1E" w14:textId="77777777" w:rsidR="001F6BF1" w:rsidRPr="0043119A" w:rsidRDefault="00000000" w:rsidP="001B0261">
      <w:pPr>
        <w:pStyle w:val="HeadingX"/>
        <w:spacing w:line="276" w:lineRule="auto"/>
        <w:ind w:firstLine="851"/>
        <w:jc w:val="both"/>
        <w:rPr>
          <w:rFonts w:ascii="Times New Roman" w:hAnsi="Times New Roman" w:cs="Times New Roman"/>
          <w:sz w:val="24"/>
          <w:szCs w:val="24"/>
          <w:lang w:val="fr-FR"/>
        </w:rPr>
      </w:pPr>
      <w:r w:rsidRPr="0043119A">
        <w:rPr>
          <w:rFonts w:ascii="Times New Roman" w:hAnsi="Times New Roman" w:cs="Times New Roman"/>
          <w:sz w:val="24"/>
          <w:szCs w:val="24"/>
          <w:lang w:val="fr-FR"/>
        </w:rPr>
        <w:t>XVII. AVANTAJELE GESTIUNII DIRECTE PRIN MANAGEMENTUL DEȘEURILOR SATU MARE S.R.L.</w:t>
      </w:r>
    </w:p>
    <w:p w14:paraId="7F11CCA3"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a) integrarea sortării și tratării într-un sistem regional coordonat, cu reducerea fragmentării instituționale și operaționale;</w:t>
      </w:r>
    </w:p>
    <w:p w14:paraId="68E47DF3"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b) menținerea controlului public asupra unui serviciu esențial și asupra direcțiilor de dezvoltare a infrastructurii;</w:t>
      </w:r>
    </w:p>
    <w:p w14:paraId="20C0D37B"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c) posibilitatea utilizării economiilor de scară prin agregarea fluxurilor provenite de la mai multe unități administrativ-teritoriale;</w:t>
      </w:r>
    </w:p>
    <w:p w14:paraId="207DE75C"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d) corelarea investițiilor cu strategia județeană și cu necesitățile reale ale sistemului, evitând duplicarea nejustificată a capacităților;</w:t>
      </w:r>
    </w:p>
    <w:p w14:paraId="19216773"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e) flexibilitate mai mare pentru adaptarea etapizată a fluxurilor și capacităților la modificările legislative, tehnice și cantitative, în limitele legii și ale contractului;</w:t>
      </w:r>
    </w:p>
    <w:p w14:paraId="318A7501"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f) posibilitatea standardizării regulamentului, caietului de sarcini, indicatorilor și sistemului de raportare la nivelul UAT participante;</w:t>
      </w:r>
    </w:p>
    <w:p w14:paraId="27B7731E"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g) consolidarea capacității de negociere și contractare pentru valorificarea materialelor reciclabile și a fracțiilor valorificabile energetic;</w:t>
      </w:r>
    </w:p>
    <w:p w14:paraId="43C811E0"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h) continuitate instituțională și posibilitatea dezvoltării competențelor tehnice în cadrul unui operator regional specializat;</w:t>
      </w:r>
    </w:p>
    <w:p w14:paraId="6D629F41"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i) corelarea directă dintre performanța de mediu, investiții și mecanismul tarifar, sub monitorizarea Asociației și în cadrul reglementării A.N.R.S.C.;</w:t>
      </w:r>
    </w:p>
    <w:p w14:paraId="7B847B7E"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j) posibilitatea urmăririi unitare a trasabilității deșeurilor și a performanței pe fluxurile de sortare și tratare.</w:t>
      </w:r>
    </w:p>
    <w:p w14:paraId="24828CC8"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Avantajele de mai sus sunt condiționate de o guvernanță efectivă, de profesionalizarea managementului operatorului, de transparența costurilor și de monitorizarea riguroasă a performanței. Gestiunea directă este oportună în măsura în care operatorul este administrat ca întreprindere publică performantă și nu ca simplă extensie administrativă.</w:t>
      </w:r>
    </w:p>
    <w:p w14:paraId="3F5F9FCF"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 acest sens, documentația contractuală trebuie să transforme avantajele potențiale în obligații măsurabile. Controlul public este valoros numai dacă este însoțit de responsabilitate, raportare și capacitatea de a interveni atunci când indicatorii nu sunt realizați.</w:t>
      </w:r>
    </w:p>
    <w:p w14:paraId="5282A928" w14:textId="77777777" w:rsidR="001F6BF1" w:rsidRPr="0043119A" w:rsidRDefault="00000000" w:rsidP="001B0261">
      <w:pPr>
        <w:pStyle w:val="HeadingX"/>
        <w:spacing w:line="276" w:lineRule="auto"/>
        <w:ind w:firstLine="851"/>
        <w:jc w:val="both"/>
        <w:rPr>
          <w:rFonts w:ascii="Times New Roman" w:hAnsi="Times New Roman" w:cs="Times New Roman"/>
          <w:sz w:val="24"/>
          <w:szCs w:val="24"/>
          <w:lang w:val="fr-FR"/>
        </w:rPr>
      </w:pPr>
      <w:r w:rsidRPr="0043119A">
        <w:rPr>
          <w:rFonts w:ascii="Times New Roman" w:hAnsi="Times New Roman" w:cs="Times New Roman"/>
          <w:sz w:val="24"/>
          <w:szCs w:val="24"/>
          <w:lang w:val="fr-FR"/>
        </w:rPr>
        <w:t>XVIII. DEZAVANTAJE ȘI MĂSURI DE COMPENSARE</w:t>
      </w:r>
    </w:p>
    <w:p w14:paraId="79A03F04"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 xml:space="preserve">Gestiunea directă poate concentra în sfera publică riscuri investiționale, financiare și operaționale care, într-un contract concurențial, ar putea fi transferate parțial unui operator privat. </w:t>
      </w:r>
      <w:r w:rsidRPr="0043119A">
        <w:rPr>
          <w:rFonts w:ascii="Times New Roman" w:hAnsi="Times New Roman" w:cs="Times New Roman"/>
          <w:sz w:val="24"/>
          <w:szCs w:val="24"/>
          <w:lang w:val="fr-FR"/>
        </w:rPr>
        <w:lastRenderedPageBreak/>
        <w:t>De asemenea, lipsa presiunii concurențiale periodice poate conduce la rigiditate sau la costuri neoptimizate dacă mecanismele de guvernanță și control sunt insuficiente.</w:t>
      </w:r>
    </w:p>
    <w:p w14:paraId="139E7457"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Aceste dezavantaje pot fi compensate prin indicatori de performanță exigenți, benchmarking, audit tehnic și financiar, fundamentarea strictă a tarifelor, planuri multianuale de investiții, evaluarea periodică a managementului și transparența datelor operaționale. Asociația trebuie să compare constant costurile și performanțele cu repere relevante din sector.</w:t>
      </w:r>
    </w:p>
    <w:p w14:paraId="40E1F90F"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lang w:val="fr-FR"/>
        </w:rPr>
        <w:t xml:space="preserve">Un alt risc este dependența de capacitatea administrativă a Asociației și de cooperarea dintre UAT. </w:t>
      </w:r>
      <w:r w:rsidRPr="0043119A">
        <w:rPr>
          <w:rFonts w:ascii="Times New Roman" w:hAnsi="Times New Roman" w:cs="Times New Roman"/>
          <w:sz w:val="24"/>
          <w:szCs w:val="24"/>
        </w:rPr>
        <w:t>Pentru reducerea acestuia sunt necesare proceduri decizionale clare, termene de raportare, formate unitare de date și delimitarea competențelor. Mandatele speciale trebuie formulate astfel încât să permită decizii operative fără a diminua controlul autorităților deliberative.</w:t>
      </w:r>
    </w:p>
    <w:p w14:paraId="381C8AEB" w14:textId="77777777" w:rsidR="001F6BF1" w:rsidRPr="0043119A" w:rsidRDefault="00000000" w:rsidP="001B0261">
      <w:pPr>
        <w:pStyle w:val="HeadingX"/>
        <w:spacing w:line="276" w:lineRule="auto"/>
        <w:ind w:firstLine="851"/>
        <w:jc w:val="both"/>
        <w:rPr>
          <w:rFonts w:ascii="Times New Roman" w:hAnsi="Times New Roman" w:cs="Times New Roman"/>
          <w:sz w:val="24"/>
          <w:szCs w:val="24"/>
          <w:lang w:val="fr-FR"/>
        </w:rPr>
      </w:pPr>
      <w:r w:rsidRPr="0043119A">
        <w:rPr>
          <w:rFonts w:ascii="Times New Roman" w:hAnsi="Times New Roman" w:cs="Times New Roman"/>
          <w:sz w:val="24"/>
          <w:szCs w:val="24"/>
          <w:lang w:val="fr-FR"/>
        </w:rPr>
        <w:t>XIX. IMPACTUL ASUPRA MUNICIPIULUI SATU MARE</w:t>
      </w:r>
    </w:p>
    <w:p w14:paraId="3A0A2460"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Pentru Municipiul Satu Mare, soluția propusă creează un cadru stabil pentru tratarea fluxurilor după colectare și reduce riscul ca activitățile de sortare și tratare să fie abordate separat, prin soluții temporare sau necorelate. Municipiul poate beneficia de infrastructura și capacitatea regională fără a fi necesară dezvoltarea izolată a tuturor instalațiilor.</w:t>
      </w:r>
    </w:p>
    <w:p w14:paraId="322249E6"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 plan administrativ, Municipiul va participa la deciziile Asociației prin reprezentantul său și va păstra competența de a acorda, modifica sau retrage mandatele în condițiile legii. În plan financiar, obligația esențială este suportarea costului real și eficient al serviciului, reflectat în tarife fundamentate potrivit reglementărilor aplicabile.</w:t>
      </w:r>
    </w:p>
    <w:p w14:paraId="6879B9EB"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 plan de mediu, municipiul va putea urmări indicatori mai clari privind cantitățile sortate, valorificate, tratate și depozitate. Integrarea datelor la nivel regional poate îmbunătăți raportarea și fundamentarea politicilor locale de colectare separată, inclusiv prin identificarea fracțiilor cu grad ridicat de impurificare și a zonelor unde sunt necesare măsuri suplimentare.</w:t>
      </w:r>
    </w:p>
    <w:p w14:paraId="20DE6382" w14:textId="77777777" w:rsidR="001F6BF1" w:rsidRPr="0043119A" w:rsidRDefault="00000000" w:rsidP="001B0261">
      <w:pPr>
        <w:pStyle w:val="HeadingX"/>
        <w:spacing w:line="276" w:lineRule="auto"/>
        <w:ind w:firstLine="851"/>
        <w:jc w:val="both"/>
        <w:rPr>
          <w:rFonts w:ascii="Times New Roman" w:hAnsi="Times New Roman" w:cs="Times New Roman"/>
          <w:sz w:val="24"/>
          <w:szCs w:val="24"/>
          <w:lang w:val="fr-FR"/>
        </w:rPr>
      </w:pPr>
      <w:r w:rsidRPr="0043119A">
        <w:rPr>
          <w:rFonts w:ascii="Times New Roman" w:hAnsi="Times New Roman" w:cs="Times New Roman"/>
          <w:sz w:val="24"/>
          <w:szCs w:val="24"/>
          <w:lang w:val="fr-FR"/>
        </w:rPr>
        <w:t>XX. ETAPIZAREA IMPLEMENTĂRII</w:t>
      </w:r>
    </w:p>
    <w:p w14:paraId="0E9C44BA"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a) aprobarea Studiului de oportunitate și a modalității de gestiune de către Consiliul Local al Municipiului Satu Mare;</w:t>
      </w:r>
    </w:p>
    <w:p w14:paraId="1C054686"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b) transferarea în responsabilitatea Asociației a gestiunii activităților analizate și acordarea mandatelor speciale prevăzute de hotărâre;</w:t>
      </w:r>
    </w:p>
    <w:p w14:paraId="116F49F1"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c) verificarea condițiilor legale pentru atribuirea directă către operatorul regional și menținerea documentată a acestora;</w:t>
      </w:r>
    </w:p>
    <w:p w14:paraId="75744C0F"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d) elaborarea și aprobarea contractului de delegare, regulamentului, caietului de sarcini și indicatorilor de performanță;</w:t>
      </w:r>
    </w:p>
    <w:p w14:paraId="0996CD6B"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e) stabilirea programului de investiții și a configurației tehnice, în concordanță cu capacitățile necesare și sursele de finanțare;</w:t>
      </w:r>
    </w:p>
    <w:p w14:paraId="79533FFC"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f) obținerea sau revizuirea licențelor, autorizațiilor și actelor de reglementare necesare înainte de începerea activităților corespunzătoare;</w:t>
      </w:r>
    </w:p>
    <w:p w14:paraId="09CA96A5"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g) fundamentarea și aprobarea tarifelor potrivit metodologiei A.N.R.S.C.;</w:t>
      </w:r>
    </w:p>
    <w:p w14:paraId="3C01E13A"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h) punerea în funcțiune etapizată, testarea fluxurilor, stabilirea bazelor de date de referință și începerea monitorizării indicatorilor;</w:t>
      </w:r>
    </w:p>
    <w:p w14:paraId="2F2A4B22"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i) evaluarea periodică a performanței și actualizarea documentației în funcție de modificările legislative, tehnice și operaționale.</w:t>
      </w:r>
    </w:p>
    <w:p w14:paraId="049121C2" w14:textId="77777777" w:rsidR="001F6BF1" w:rsidRPr="0043119A" w:rsidRDefault="00000000" w:rsidP="001B0261">
      <w:pPr>
        <w:pStyle w:val="HeadingX"/>
        <w:spacing w:line="276" w:lineRule="auto"/>
        <w:ind w:firstLine="851"/>
        <w:jc w:val="both"/>
        <w:rPr>
          <w:rFonts w:ascii="Times New Roman" w:hAnsi="Times New Roman" w:cs="Times New Roman"/>
          <w:sz w:val="24"/>
          <w:szCs w:val="24"/>
        </w:rPr>
      </w:pPr>
      <w:r w:rsidRPr="0043119A">
        <w:rPr>
          <w:rFonts w:ascii="Times New Roman" w:hAnsi="Times New Roman" w:cs="Times New Roman"/>
          <w:sz w:val="24"/>
          <w:szCs w:val="24"/>
        </w:rPr>
        <w:t>XXI. FUNDAMENTAREA CONCLUZIEI PRIVIND OPORTUNITATEA GESTIUNII DIRECTE</w:t>
      </w:r>
    </w:p>
    <w:p w14:paraId="4EC8D11D"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 xml:space="preserve">Analiza cumulativă a criteriilor juridice, instituționale, tehnice, economice, operaționale și de mediu conduce la concluzia că, pentru configurația analizată, gestiunea directă prin operatorul </w:t>
      </w:r>
      <w:r w:rsidRPr="0043119A">
        <w:rPr>
          <w:rFonts w:ascii="Times New Roman" w:hAnsi="Times New Roman" w:cs="Times New Roman"/>
          <w:sz w:val="24"/>
          <w:szCs w:val="24"/>
        </w:rPr>
        <w:lastRenderedPageBreak/>
        <w:t>regional MANAGEMENTUL DEȘEURILOR SATU MARE S.R.L. este modalitatea adecvată pentru activitățile de sortare a deșeurilor municipale și tratare mecanobiologică a deșeurilor reziduale.</w:t>
      </w:r>
    </w:p>
    <w:p w14:paraId="090B23E0"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Concluzia se bazează în primul rând pe caracterul regional al activităților și pe necesitatea integrării acestora într-un sistem coerent. Sortarea și tratarea necesită instalații și fluxuri care depășesc logica unei singure localități, iar agregarea cantităților permite utilizarea mai eficientă a infrastructurii și planificarea investițiilor pe termen lung.</w:t>
      </w:r>
    </w:p>
    <w:p w14:paraId="0B6BEFCA"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În al doilea rând, existența unui operator regional cu capital social integral public permite menținerea controlului public asupra serviciului și corelarea activității operatorului cu obiectivele UAT membre, cu condiția respectării permanente a cerințelor legale pentru atribuirea directă și a regulilor de guvernanță aplicabile.</w:t>
      </w:r>
    </w:p>
    <w:p w14:paraId="46DAE0B0" w14:textId="77777777" w:rsidR="001F6BF1" w:rsidRPr="0043119A" w:rsidRDefault="00000000" w:rsidP="001B0261">
      <w:pPr>
        <w:spacing w:line="276" w:lineRule="auto"/>
        <w:ind w:firstLine="851"/>
        <w:rPr>
          <w:rFonts w:ascii="Times New Roman" w:hAnsi="Times New Roman" w:cs="Times New Roman"/>
          <w:sz w:val="24"/>
          <w:szCs w:val="24"/>
        </w:rPr>
      </w:pPr>
      <w:r w:rsidRPr="0043119A">
        <w:rPr>
          <w:rFonts w:ascii="Times New Roman" w:hAnsi="Times New Roman" w:cs="Times New Roman"/>
          <w:sz w:val="24"/>
          <w:szCs w:val="24"/>
        </w:rPr>
        <w:t>În al treilea rând, exercitarea în comun a competențelor prin Asociație oferă cadrul instituțional necesar pentru aprobarea unitară a documentației, monitorizarea performanței și coordonarea deciziilor. Mandatul special acordat Asociației permite implementarea coerentă a soluției, fără a înlătura controlul Consiliului Local al Municipiului Satu Mare.</w:t>
      </w:r>
    </w:p>
    <w:p w14:paraId="55EAA4A4"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rPr>
        <w:t xml:space="preserve">În al patrulea rând, gestiunea directă regională este compatibilă cu interesul actual și de perspectivă al municipiului de a reduce depozitarea, de a crește valorificarea și de a participa la dezvoltarea unui sistem județean modern. </w:t>
      </w:r>
      <w:r w:rsidRPr="0043119A">
        <w:rPr>
          <w:rFonts w:ascii="Times New Roman" w:hAnsi="Times New Roman" w:cs="Times New Roman"/>
          <w:sz w:val="24"/>
          <w:szCs w:val="24"/>
          <w:lang w:val="fr-FR"/>
        </w:rPr>
        <w:t>Soluția creează premisele unei planificări multianuale și ale unei tranziții controlate către tehnologii și standarde de performanță mai ridicate.</w:t>
      </w:r>
    </w:p>
    <w:p w14:paraId="25BB0637"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În al cincilea rând, raportul preț-calitate poate fi optimizat prin economii de scară și prin integrarea fluxurilor, însă acest avantaj trebuie demonstrat și menținut prin tarife fundamentate transparent, indicatori măsurabili și control riguros. Studiul nu presupune că forma de proprietate publică garantează automat eficiența; eficiența trebuie produsă prin management, investiții și monitorizare.</w:t>
      </w:r>
    </w:p>
    <w:p w14:paraId="12EA2F45" w14:textId="77777777" w:rsidR="001F6BF1" w:rsidRPr="0043119A" w:rsidRDefault="00000000" w:rsidP="001B0261">
      <w:pPr>
        <w:pStyle w:val="HeadingX"/>
        <w:spacing w:line="276" w:lineRule="auto"/>
        <w:ind w:firstLine="851"/>
        <w:jc w:val="both"/>
        <w:rPr>
          <w:rFonts w:ascii="Times New Roman" w:hAnsi="Times New Roman" w:cs="Times New Roman"/>
          <w:sz w:val="24"/>
          <w:szCs w:val="24"/>
          <w:lang w:val="fr-FR"/>
        </w:rPr>
      </w:pPr>
      <w:r w:rsidRPr="0043119A">
        <w:rPr>
          <w:rFonts w:ascii="Times New Roman" w:hAnsi="Times New Roman" w:cs="Times New Roman"/>
          <w:sz w:val="24"/>
          <w:szCs w:val="24"/>
          <w:lang w:val="fr-FR"/>
        </w:rPr>
        <w:t>XXII. CONCLUZII ȘI PROPUNERI</w:t>
      </w:r>
    </w:p>
    <w:p w14:paraId="3D2421E3" w14:textId="77777777" w:rsidR="001F6BF1" w:rsidRPr="009306F8" w:rsidRDefault="00000000" w:rsidP="001B0261">
      <w:pPr>
        <w:spacing w:line="276" w:lineRule="auto"/>
        <w:ind w:firstLine="851"/>
        <w:rPr>
          <w:rFonts w:ascii="Times New Roman" w:hAnsi="Times New Roman" w:cs="Times New Roman"/>
          <w:b/>
          <w:bCs/>
          <w:sz w:val="24"/>
          <w:szCs w:val="24"/>
          <w:lang w:val="fr-FR"/>
        </w:rPr>
      </w:pPr>
      <w:r w:rsidRPr="0043119A">
        <w:rPr>
          <w:rFonts w:ascii="Times New Roman" w:hAnsi="Times New Roman" w:cs="Times New Roman"/>
          <w:sz w:val="24"/>
          <w:szCs w:val="24"/>
          <w:lang w:val="fr-FR"/>
        </w:rPr>
        <w:t xml:space="preserve">Față de considerentele prezentate, </w:t>
      </w:r>
      <w:r w:rsidRPr="009306F8">
        <w:rPr>
          <w:rFonts w:ascii="Times New Roman" w:hAnsi="Times New Roman" w:cs="Times New Roman"/>
          <w:b/>
          <w:bCs/>
          <w:sz w:val="24"/>
          <w:szCs w:val="24"/>
          <w:lang w:val="fr-FR"/>
        </w:rPr>
        <w:t>se constată oportunitatea aprobării gestiunii directe pentru activitatea de sortare a deșeurilor de hârtie, carton, metal, plastic și sticlă colectate separat din deșeurile municipale în stații de sortare, inclusiv transportul reziduurilor rezultate din sortare la instalațiile de tratare, depozitele de deșeuri și/sau instalațiile de valorificare, după caz, în condițiile legii.</w:t>
      </w:r>
    </w:p>
    <w:p w14:paraId="2E34E7AB" w14:textId="77777777" w:rsidR="001F6BF1" w:rsidRPr="009306F8" w:rsidRDefault="00000000" w:rsidP="001B0261">
      <w:pPr>
        <w:spacing w:line="276" w:lineRule="auto"/>
        <w:ind w:firstLine="851"/>
        <w:rPr>
          <w:rFonts w:ascii="Times New Roman" w:hAnsi="Times New Roman" w:cs="Times New Roman"/>
          <w:b/>
          <w:bCs/>
          <w:sz w:val="24"/>
          <w:szCs w:val="24"/>
          <w:lang w:val="fr-FR"/>
        </w:rPr>
      </w:pPr>
      <w:r w:rsidRPr="0043119A">
        <w:rPr>
          <w:rFonts w:ascii="Times New Roman" w:hAnsi="Times New Roman" w:cs="Times New Roman"/>
          <w:sz w:val="24"/>
          <w:szCs w:val="24"/>
          <w:lang w:val="fr-FR"/>
        </w:rPr>
        <w:t xml:space="preserve">Se constată, de asemenea, </w:t>
      </w:r>
      <w:r w:rsidRPr="009306F8">
        <w:rPr>
          <w:rFonts w:ascii="Times New Roman" w:hAnsi="Times New Roman" w:cs="Times New Roman"/>
          <w:b/>
          <w:bCs/>
          <w:sz w:val="24"/>
          <w:szCs w:val="24"/>
          <w:lang w:val="fr-FR"/>
        </w:rPr>
        <w:t>oportunitatea aprobării gestiunii directe pentru activitatea de tratare mecanobiologică a deșeurilor reziduale în instalațiile de tratare mecanobiologică sau, după caz, în instalațiile integrate de tratare, inclusiv transportul deșeurilor stabilizate biologic și al deșeurilor reziduale care nu mai pot fi valorificate la depozitele de deșeuri și al deșeurilor reziduale valorificabile energetic la instalațiile de valorificare energetică.</w:t>
      </w:r>
    </w:p>
    <w:p w14:paraId="3EA85BAB"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 xml:space="preserve">Se propune ca </w:t>
      </w:r>
      <w:r w:rsidRPr="00CE3E02">
        <w:rPr>
          <w:rFonts w:ascii="Times New Roman" w:hAnsi="Times New Roman" w:cs="Times New Roman"/>
          <w:b/>
          <w:bCs/>
          <w:sz w:val="24"/>
          <w:szCs w:val="24"/>
          <w:lang w:val="fr-FR"/>
        </w:rPr>
        <w:t>gestiunea directă</w:t>
      </w:r>
      <w:r w:rsidRPr="0043119A">
        <w:rPr>
          <w:rFonts w:ascii="Times New Roman" w:hAnsi="Times New Roman" w:cs="Times New Roman"/>
          <w:sz w:val="24"/>
          <w:szCs w:val="24"/>
          <w:lang w:val="fr-FR"/>
        </w:rPr>
        <w:t xml:space="preserve"> a acestor activități să fie realizată prin operatorul regional MANAGEMENTUL DEȘEURILOR SATU MARE S.R.L., societate cu capital social integral deținut de unități administrativ-teritoriale, fără participarea capitalului privat, sub condiția îndeplinirii și menținerii tuturor cerințelor legale aplicabile atribuirii directe.</w:t>
      </w:r>
    </w:p>
    <w:p w14:paraId="5BD19313"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 xml:space="preserve">Se propune </w:t>
      </w:r>
      <w:r w:rsidRPr="00CE3E02">
        <w:rPr>
          <w:rFonts w:ascii="Times New Roman" w:hAnsi="Times New Roman" w:cs="Times New Roman"/>
          <w:b/>
          <w:bCs/>
          <w:sz w:val="24"/>
          <w:szCs w:val="24"/>
          <w:lang w:val="fr-FR"/>
        </w:rPr>
        <w:t>transferarea în responsabilitatea Asociației de Dezvoltare Intercomunitară pentru Managementul Deșeurilor din Județul Satu Mare a gestiunii activităților analizate</w:t>
      </w:r>
      <w:r w:rsidRPr="0043119A">
        <w:rPr>
          <w:rFonts w:ascii="Times New Roman" w:hAnsi="Times New Roman" w:cs="Times New Roman"/>
          <w:sz w:val="24"/>
          <w:szCs w:val="24"/>
          <w:lang w:val="fr-FR"/>
        </w:rPr>
        <w:t>, în vederea exercitării în comun a competențelor împreună cu celelalte unități administrativ-teritoriale membre, precum și acordarea mandatului special pentru atribuirea directă și încheierea contractului de delegare.</w:t>
      </w:r>
    </w:p>
    <w:p w14:paraId="12042595"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 xml:space="preserve">Se propune </w:t>
      </w:r>
      <w:r w:rsidRPr="00772FAF">
        <w:rPr>
          <w:rFonts w:ascii="Times New Roman" w:hAnsi="Times New Roman" w:cs="Times New Roman"/>
          <w:b/>
          <w:bCs/>
          <w:sz w:val="24"/>
          <w:szCs w:val="24"/>
          <w:lang w:val="fr-FR"/>
        </w:rPr>
        <w:t>acordarea mandatului special</w:t>
      </w:r>
      <w:r w:rsidRPr="0043119A">
        <w:rPr>
          <w:rFonts w:ascii="Times New Roman" w:hAnsi="Times New Roman" w:cs="Times New Roman"/>
          <w:sz w:val="24"/>
          <w:szCs w:val="24"/>
          <w:lang w:val="fr-FR"/>
        </w:rPr>
        <w:t xml:space="preserve"> Asociației pentru aprobarea documentației aferente gestiunii – contract de delegare, regulament, caiet de sarcini, indicatori de performanță, </w:t>
      </w:r>
      <w:r w:rsidRPr="0043119A">
        <w:rPr>
          <w:rFonts w:ascii="Times New Roman" w:hAnsi="Times New Roman" w:cs="Times New Roman"/>
          <w:sz w:val="24"/>
          <w:szCs w:val="24"/>
          <w:lang w:val="fr-FR"/>
        </w:rPr>
        <w:lastRenderedPageBreak/>
        <w:t>modificările și completările acestora – și pentru aprobarea, ajustarea sau modificarea tarifelor în condițiile legislației și reglementărilor A.N.R.S.C.</w:t>
      </w:r>
    </w:p>
    <w:p w14:paraId="44228B43" w14:textId="77777777" w:rsidR="001F6BF1" w:rsidRPr="0043119A"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Punerea efectivă în aplicare a modalității de gestiune va fi condiționată de existența licențelor, autorizațiilor și actelor de reglementare necesare, de aprobarea documentației tehnice și contractuale și de fundamentarea tarifelor. Pentru componentele investiționale sau tehnologice care necesită autorizare ori revizuirea autorizațiilor existente, activitatea va începe numai după îndeplinirea condițiilor legale.</w:t>
      </w:r>
    </w:p>
    <w:p w14:paraId="7C4563C6" w14:textId="77777777" w:rsidR="001F6BF1" w:rsidRDefault="00000000" w:rsidP="001B0261">
      <w:pPr>
        <w:spacing w:line="276" w:lineRule="auto"/>
        <w:ind w:firstLine="851"/>
        <w:rPr>
          <w:rFonts w:ascii="Times New Roman" w:hAnsi="Times New Roman" w:cs="Times New Roman"/>
          <w:sz w:val="24"/>
          <w:szCs w:val="24"/>
          <w:lang w:val="fr-FR"/>
        </w:rPr>
      </w:pPr>
      <w:r w:rsidRPr="0043119A">
        <w:rPr>
          <w:rFonts w:ascii="Times New Roman" w:hAnsi="Times New Roman" w:cs="Times New Roman"/>
          <w:sz w:val="24"/>
          <w:szCs w:val="24"/>
          <w:lang w:val="fr-FR"/>
        </w:rPr>
        <w:t xml:space="preserve">Prin urmare, aprobarea proiectului de hotărâre este justificată din perspectiva interesului public local, a necesității integrării regionale a fluxurilor de deșeuri, a continuității și controlului serviciului, precum și a obiectivelor de reducere a depozitării și creștere a valorificării. Prezentul Studiu de oportunitate fundamentează alegerea </w:t>
      </w:r>
      <w:r w:rsidRPr="00670797">
        <w:rPr>
          <w:rFonts w:ascii="Times New Roman" w:hAnsi="Times New Roman" w:cs="Times New Roman"/>
          <w:b/>
          <w:bCs/>
          <w:sz w:val="24"/>
          <w:szCs w:val="24"/>
          <w:lang w:val="fr-FR"/>
        </w:rPr>
        <w:t>gestiunii directe</w:t>
      </w:r>
      <w:r w:rsidRPr="0043119A">
        <w:rPr>
          <w:rFonts w:ascii="Times New Roman" w:hAnsi="Times New Roman" w:cs="Times New Roman"/>
          <w:sz w:val="24"/>
          <w:szCs w:val="24"/>
          <w:lang w:val="fr-FR"/>
        </w:rPr>
        <w:t xml:space="preserve"> în configurația instituțională descrisă și constituie anexă la hotărârea Consiliului Local al Municipiului Satu Mare.</w:t>
      </w:r>
    </w:p>
    <w:p w14:paraId="2B41F409" w14:textId="77777777" w:rsidR="00670797" w:rsidRDefault="00670797" w:rsidP="001B0261">
      <w:pPr>
        <w:spacing w:line="276" w:lineRule="auto"/>
        <w:ind w:firstLine="851"/>
        <w:rPr>
          <w:rFonts w:ascii="Times New Roman" w:hAnsi="Times New Roman" w:cs="Times New Roman"/>
          <w:sz w:val="24"/>
          <w:szCs w:val="24"/>
          <w:lang w:val="fr-FR"/>
        </w:rPr>
      </w:pPr>
    </w:p>
    <w:p w14:paraId="3CB2B61F" w14:textId="77777777" w:rsidR="00670797" w:rsidRDefault="00670797" w:rsidP="001B0261">
      <w:pPr>
        <w:spacing w:line="276" w:lineRule="auto"/>
        <w:ind w:firstLine="851"/>
        <w:rPr>
          <w:rFonts w:ascii="Times New Roman" w:hAnsi="Times New Roman" w:cs="Times New Roman"/>
          <w:sz w:val="24"/>
          <w:szCs w:val="24"/>
          <w:lang w:val="fr-FR"/>
        </w:rPr>
      </w:pPr>
    </w:p>
    <w:p w14:paraId="6DD1EAA6" w14:textId="77777777" w:rsidR="00670797" w:rsidRDefault="00670797" w:rsidP="001B0261">
      <w:pPr>
        <w:spacing w:line="276" w:lineRule="auto"/>
        <w:ind w:firstLine="851"/>
        <w:rPr>
          <w:rFonts w:ascii="Times New Roman" w:hAnsi="Times New Roman" w:cs="Times New Roman"/>
          <w:sz w:val="24"/>
          <w:szCs w:val="24"/>
          <w:lang w:val="fr-FR"/>
        </w:rPr>
      </w:pPr>
    </w:p>
    <w:p w14:paraId="5BDB9ED7" w14:textId="77777777" w:rsidR="00670797" w:rsidRPr="0043119A" w:rsidRDefault="00670797" w:rsidP="001B0261">
      <w:pPr>
        <w:spacing w:line="276" w:lineRule="auto"/>
        <w:ind w:firstLine="851"/>
        <w:rPr>
          <w:rFonts w:ascii="Times New Roman" w:hAnsi="Times New Roman" w:cs="Times New Roman"/>
          <w:sz w:val="24"/>
          <w:szCs w:val="24"/>
          <w:lang w:val="fr-FR"/>
        </w:rPr>
      </w:pPr>
    </w:p>
    <w:p w14:paraId="266FF3DF" w14:textId="77777777" w:rsidR="00670797" w:rsidRPr="0053781A" w:rsidRDefault="00670797" w:rsidP="00670797">
      <w:pPr>
        <w:jc w:val="center"/>
        <w:rPr>
          <w:rFonts w:ascii="Times New Roman" w:hAnsi="Times New Roman"/>
          <w:b/>
          <w:bCs/>
          <w:sz w:val="24"/>
          <w:szCs w:val="24"/>
        </w:rPr>
      </w:pPr>
      <w:r w:rsidRPr="0053781A">
        <w:rPr>
          <w:rFonts w:ascii="Times New Roman" w:hAnsi="Times New Roman"/>
          <w:b/>
          <w:bCs/>
          <w:sz w:val="24"/>
          <w:szCs w:val="24"/>
        </w:rPr>
        <w:t>ADMINISTRATOR PUBLIC AL MUNICIPIULUI SATU MARE</w:t>
      </w:r>
    </w:p>
    <w:p w14:paraId="2FEB864F" w14:textId="77777777" w:rsidR="00670797" w:rsidRPr="0053781A" w:rsidRDefault="00670797" w:rsidP="00670797">
      <w:pPr>
        <w:jc w:val="center"/>
        <w:rPr>
          <w:rFonts w:ascii="Times New Roman" w:hAnsi="Times New Roman"/>
          <w:b/>
          <w:bCs/>
          <w:sz w:val="24"/>
          <w:szCs w:val="24"/>
        </w:rPr>
      </w:pPr>
      <w:r w:rsidRPr="0053781A">
        <w:rPr>
          <w:rFonts w:ascii="Times New Roman" w:hAnsi="Times New Roman"/>
          <w:b/>
          <w:bCs/>
          <w:sz w:val="24"/>
          <w:szCs w:val="24"/>
        </w:rPr>
        <w:t>MASCULIC CSABA</w:t>
      </w:r>
    </w:p>
    <w:p w14:paraId="798C456F" w14:textId="77777777" w:rsidR="00670797" w:rsidRPr="0053781A" w:rsidRDefault="00670797" w:rsidP="00670797">
      <w:pPr>
        <w:rPr>
          <w:rFonts w:ascii="Times New Roman" w:hAnsi="Times New Roman"/>
          <w:b/>
          <w:bCs/>
          <w:sz w:val="24"/>
          <w:szCs w:val="24"/>
        </w:rPr>
      </w:pPr>
    </w:p>
    <w:p w14:paraId="1550B122" w14:textId="77777777" w:rsidR="00670797" w:rsidRPr="0053781A" w:rsidRDefault="00670797" w:rsidP="00670797">
      <w:pPr>
        <w:rPr>
          <w:rFonts w:ascii="Times New Roman" w:hAnsi="Times New Roman"/>
          <w:b/>
          <w:bCs/>
          <w:sz w:val="24"/>
          <w:szCs w:val="24"/>
        </w:rPr>
      </w:pPr>
    </w:p>
    <w:p w14:paraId="72AAD03D" w14:textId="77777777" w:rsidR="00670797" w:rsidRDefault="00670797" w:rsidP="00670797">
      <w:pPr>
        <w:ind w:firstLine="0"/>
        <w:rPr>
          <w:rFonts w:ascii="Times New Roman" w:hAnsi="Times New Roman"/>
          <w:b/>
          <w:bCs/>
          <w:sz w:val="24"/>
          <w:szCs w:val="24"/>
        </w:rPr>
      </w:pPr>
    </w:p>
    <w:p w14:paraId="1E0398A4" w14:textId="77777777" w:rsidR="00670797" w:rsidRDefault="00670797" w:rsidP="00670797">
      <w:pPr>
        <w:rPr>
          <w:rFonts w:ascii="Times New Roman" w:hAnsi="Times New Roman"/>
          <w:b/>
          <w:bCs/>
          <w:sz w:val="24"/>
          <w:szCs w:val="24"/>
        </w:rPr>
      </w:pPr>
    </w:p>
    <w:p w14:paraId="27DC861A" w14:textId="77777777" w:rsidR="007B2ED6" w:rsidRDefault="007B2ED6" w:rsidP="00670797">
      <w:pPr>
        <w:rPr>
          <w:rFonts w:ascii="Times New Roman" w:hAnsi="Times New Roman"/>
          <w:b/>
          <w:bCs/>
          <w:sz w:val="24"/>
          <w:szCs w:val="24"/>
        </w:rPr>
      </w:pPr>
    </w:p>
    <w:p w14:paraId="0177DCBF" w14:textId="77777777" w:rsidR="007B2ED6" w:rsidRPr="0053781A" w:rsidRDefault="007B2ED6" w:rsidP="00670797">
      <w:pPr>
        <w:rPr>
          <w:rFonts w:ascii="Times New Roman" w:hAnsi="Times New Roman"/>
          <w:b/>
          <w:bCs/>
          <w:sz w:val="24"/>
          <w:szCs w:val="24"/>
        </w:rPr>
      </w:pPr>
    </w:p>
    <w:p w14:paraId="0B039563" w14:textId="77777777" w:rsidR="00670797" w:rsidRPr="0053781A" w:rsidRDefault="00670797" w:rsidP="00670797">
      <w:pPr>
        <w:rPr>
          <w:rFonts w:ascii="Times New Roman" w:hAnsi="Times New Roman"/>
          <w:b/>
          <w:bCs/>
          <w:sz w:val="24"/>
          <w:szCs w:val="24"/>
        </w:rPr>
      </w:pP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t xml:space="preserve"> </w:t>
      </w:r>
      <w:r w:rsidRPr="0053781A">
        <w:rPr>
          <w:rFonts w:ascii="Times New Roman" w:hAnsi="Times New Roman"/>
          <w:b/>
          <w:bCs/>
          <w:sz w:val="24"/>
          <w:szCs w:val="24"/>
        </w:rPr>
        <w:tab/>
      </w:r>
      <w:r w:rsidRPr="0053781A">
        <w:rPr>
          <w:rFonts w:ascii="Times New Roman" w:hAnsi="Times New Roman"/>
          <w:b/>
          <w:bCs/>
          <w:sz w:val="24"/>
          <w:szCs w:val="24"/>
        </w:rPr>
        <w:tab/>
        <w:t xml:space="preserve">   </w:t>
      </w:r>
      <w:r>
        <w:rPr>
          <w:rFonts w:ascii="Times New Roman" w:hAnsi="Times New Roman"/>
          <w:b/>
          <w:bCs/>
          <w:sz w:val="24"/>
          <w:szCs w:val="24"/>
        </w:rPr>
        <w:tab/>
      </w:r>
      <w:r w:rsidRPr="0053781A">
        <w:rPr>
          <w:rFonts w:ascii="Times New Roman" w:hAnsi="Times New Roman"/>
          <w:b/>
          <w:bCs/>
          <w:sz w:val="24"/>
          <w:szCs w:val="24"/>
        </w:rPr>
        <w:t xml:space="preserve">   Șef </w:t>
      </w:r>
      <w:r>
        <w:rPr>
          <w:rFonts w:ascii="Times New Roman" w:hAnsi="Times New Roman"/>
          <w:b/>
          <w:bCs/>
          <w:sz w:val="24"/>
          <w:szCs w:val="24"/>
        </w:rPr>
        <w:t>S.E.U.S.V.</w:t>
      </w:r>
      <w:r w:rsidRPr="0053781A">
        <w:rPr>
          <w:rFonts w:ascii="Times New Roman" w:hAnsi="Times New Roman"/>
          <w:b/>
          <w:bCs/>
          <w:sz w:val="24"/>
          <w:szCs w:val="24"/>
        </w:rPr>
        <w:t>,</w:t>
      </w:r>
    </w:p>
    <w:p w14:paraId="2386A739" w14:textId="15F752DF" w:rsidR="00670797" w:rsidRPr="00736637" w:rsidRDefault="00670797" w:rsidP="00670797">
      <w:pPr>
        <w:rPr>
          <w:rFonts w:ascii="Times New Roman" w:hAnsi="Times New Roman"/>
          <w:b/>
          <w:bCs/>
          <w:sz w:val="24"/>
          <w:szCs w:val="24"/>
        </w:rPr>
      </w:pPr>
      <w:r w:rsidRPr="0053781A">
        <w:rPr>
          <w:rFonts w:ascii="Times New Roman" w:hAnsi="Times New Roman"/>
          <w:b/>
          <w:bCs/>
          <w:sz w:val="24"/>
          <w:szCs w:val="24"/>
        </w:rPr>
        <w:t xml:space="preserve">    </w:t>
      </w: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t xml:space="preserve">     </w:t>
      </w: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r>
      <w:r>
        <w:rPr>
          <w:rFonts w:ascii="Times New Roman" w:hAnsi="Times New Roman"/>
          <w:b/>
          <w:bCs/>
          <w:sz w:val="24"/>
          <w:szCs w:val="24"/>
        </w:rPr>
        <w:tab/>
        <w:t xml:space="preserve">  </w:t>
      </w:r>
      <w:r w:rsidR="00DD5AF8">
        <w:rPr>
          <w:rFonts w:ascii="Times New Roman" w:hAnsi="Times New Roman"/>
          <w:b/>
          <w:bCs/>
          <w:sz w:val="24"/>
          <w:szCs w:val="24"/>
        </w:rPr>
        <w:t xml:space="preserve"> </w:t>
      </w:r>
      <w:r>
        <w:rPr>
          <w:rFonts w:ascii="Times New Roman" w:hAnsi="Times New Roman"/>
          <w:b/>
          <w:bCs/>
          <w:sz w:val="24"/>
          <w:szCs w:val="24"/>
        </w:rPr>
        <w:t xml:space="preserve">  </w:t>
      </w:r>
      <w:r w:rsidRPr="0053781A">
        <w:rPr>
          <w:rFonts w:ascii="Times New Roman" w:hAnsi="Times New Roman"/>
          <w:b/>
          <w:bCs/>
          <w:sz w:val="24"/>
          <w:szCs w:val="24"/>
        </w:rPr>
        <w:t>Haidu Zsolt</w:t>
      </w:r>
    </w:p>
    <w:p w14:paraId="4C1F676B" w14:textId="3B14C254" w:rsidR="007B7FA6" w:rsidRPr="0043119A" w:rsidRDefault="007B7FA6" w:rsidP="00670797">
      <w:pPr>
        <w:spacing w:line="276" w:lineRule="auto"/>
        <w:ind w:firstLine="851"/>
        <w:rPr>
          <w:rFonts w:ascii="Times New Roman" w:eastAsia="Times New Roman" w:hAnsi="Times New Roman" w:cs="Times New Roman"/>
          <w:b/>
          <w:bCs/>
          <w:sz w:val="24"/>
          <w:szCs w:val="24"/>
          <w:lang w:val="fr-FR"/>
        </w:rPr>
      </w:pPr>
    </w:p>
    <w:sectPr w:rsidR="007B7FA6" w:rsidRPr="0043119A" w:rsidSect="00532DE9">
      <w:footerReference w:type="default" r:id="rId8"/>
      <w:pgSz w:w="11906" w:h="16838"/>
      <w:pgMar w:top="1020" w:right="991" w:bottom="1020" w:left="141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FE4DE" w14:textId="77777777" w:rsidR="007239C3" w:rsidRDefault="007239C3">
      <w:pPr>
        <w:spacing w:line="240" w:lineRule="auto"/>
      </w:pPr>
      <w:r>
        <w:separator/>
      </w:r>
    </w:p>
  </w:endnote>
  <w:endnote w:type="continuationSeparator" w:id="0">
    <w:p w14:paraId="1A11D559" w14:textId="77777777" w:rsidR="007239C3" w:rsidRDefault="007239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405227162"/>
      <w:docPartObj>
        <w:docPartGallery w:val="Page Numbers (Bottom of Page)"/>
        <w:docPartUnique/>
      </w:docPartObj>
    </w:sdtPr>
    <w:sdtContent>
      <w:sdt>
        <w:sdtPr>
          <w:rPr>
            <w:rFonts w:ascii="Times New Roman" w:hAnsi="Times New Roman" w:cs="Times New Roman"/>
            <w:sz w:val="24"/>
            <w:szCs w:val="24"/>
          </w:rPr>
          <w:id w:val="1728636285"/>
          <w:docPartObj>
            <w:docPartGallery w:val="Page Numbers (Top of Page)"/>
            <w:docPartUnique/>
          </w:docPartObj>
        </w:sdtPr>
        <w:sdtContent>
          <w:p w14:paraId="5AE162DE" w14:textId="5D242748" w:rsidR="00F74987" w:rsidRPr="00F74987" w:rsidRDefault="00F74987" w:rsidP="00616757">
            <w:pPr>
              <w:pStyle w:val="Footer"/>
              <w:ind w:firstLine="0"/>
              <w:jc w:val="center"/>
              <w:rPr>
                <w:rFonts w:ascii="Times New Roman" w:hAnsi="Times New Roman" w:cs="Times New Roman"/>
                <w:sz w:val="24"/>
                <w:szCs w:val="24"/>
              </w:rPr>
            </w:pPr>
            <w:r w:rsidRPr="00F74987">
              <w:rPr>
                <w:rFonts w:ascii="Times New Roman" w:hAnsi="Times New Roman" w:cs="Times New Roman"/>
                <w:sz w:val="24"/>
                <w:szCs w:val="24"/>
              </w:rPr>
              <w:t xml:space="preserve">Page </w:t>
            </w:r>
            <w:r w:rsidRPr="00F74987">
              <w:rPr>
                <w:rFonts w:ascii="Times New Roman" w:hAnsi="Times New Roman" w:cs="Times New Roman"/>
                <w:b/>
                <w:bCs/>
                <w:sz w:val="24"/>
                <w:szCs w:val="24"/>
              </w:rPr>
              <w:fldChar w:fldCharType="begin"/>
            </w:r>
            <w:r w:rsidRPr="00F74987">
              <w:rPr>
                <w:rFonts w:ascii="Times New Roman" w:hAnsi="Times New Roman" w:cs="Times New Roman"/>
                <w:b/>
                <w:bCs/>
                <w:sz w:val="24"/>
                <w:szCs w:val="24"/>
              </w:rPr>
              <w:instrText xml:space="preserve"> PAGE </w:instrText>
            </w:r>
            <w:r w:rsidRPr="00F74987">
              <w:rPr>
                <w:rFonts w:ascii="Times New Roman" w:hAnsi="Times New Roman" w:cs="Times New Roman"/>
                <w:b/>
                <w:bCs/>
                <w:sz w:val="24"/>
                <w:szCs w:val="24"/>
              </w:rPr>
              <w:fldChar w:fldCharType="separate"/>
            </w:r>
            <w:r w:rsidRPr="00F74987">
              <w:rPr>
                <w:rFonts w:ascii="Times New Roman" w:hAnsi="Times New Roman" w:cs="Times New Roman"/>
                <w:b/>
                <w:bCs/>
                <w:noProof/>
                <w:sz w:val="24"/>
                <w:szCs w:val="24"/>
              </w:rPr>
              <w:t>2</w:t>
            </w:r>
            <w:r w:rsidRPr="00F74987">
              <w:rPr>
                <w:rFonts w:ascii="Times New Roman" w:hAnsi="Times New Roman" w:cs="Times New Roman"/>
                <w:b/>
                <w:bCs/>
                <w:sz w:val="24"/>
                <w:szCs w:val="24"/>
              </w:rPr>
              <w:fldChar w:fldCharType="end"/>
            </w:r>
            <w:r w:rsidRPr="00F74987">
              <w:rPr>
                <w:rFonts w:ascii="Times New Roman" w:hAnsi="Times New Roman" w:cs="Times New Roman"/>
                <w:sz w:val="24"/>
                <w:szCs w:val="24"/>
              </w:rPr>
              <w:t xml:space="preserve"> of </w:t>
            </w:r>
            <w:r w:rsidRPr="00F74987">
              <w:rPr>
                <w:rFonts w:ascii="Times New Roman" w:hAnsi="Times New Roman" w:cs="Times New Roman"/>
                <w:b/>
                <w:bCs/>
                <w:sz w:val="24"/>
                <w:szCs w:val="24"/>
              </w:rPr>
              <w:fldChar w:fldCharType="begin"/>
            </w:r>
            <w:r w:rsidRPr="00F74987">
              <w:rPr>
                <w:rFonts w:ascii="Times New Roman" w:hAnsi="Times New Roman" w:cs="Times New Roman"/>
                <w:b/>
                <w:bCs/>
                <w:sz w:val="24"/>
                <w:szCs w:val="24"/>
              </w:rPr>
              <w:instrText xml:space="preserve"> NUMPAGES  </w:instrText>
            </w:r>
            <w:r w:rsidRPr="00F74987">
              <w:rPr>
                <w:rFonts w:ascii="Times New Roman" w:hAnsi="Times New Roman" w:cs="Times New Roman"/>
                <w:b/>
                <w:bCs/>
                <w:sz w:val="24"/>
                <w:szCs w:val="24"/>
              </w:rPr>
              <w:fldChar w:fldCharType="separate"/>
            </w:r>
            <w:r w:rsidRPr="00F74987">
              <w:rPr>
                <w:rFonts w:ascii="Times New Roman" w:hAnsi="Times New Roman" w:cs="Times New Roman"/>
                <w:b/>
                <w:bCs/>
                <w:noProof/>
                <w:sz w:val="24"/>
                <w:szCs w:val="24"/>
              </w:rPr>
              <w:t>2</w:t>
            </w:r>
            <w:r w:rsidRPr="00F74987">
              <w:rPr>
                <w:rFonts w:ascii="Times New Roman" w:hAnsi="Times New Roman" w:cs="Times New Roman"/>
                <w:b/>
                <w:bCs/>
                <w:sz w:val="24"/>
                <w:szCs w:val="24"/>
              </w:rPr>
              <w:fldChar w:fldCharType="end"/>
            </w:r>
          </w:p>
        </w:sdtContent>
      </w:sdt>
    </w:sdtContent>
  </w:sdt>
  <w:p w14:paraId="7F43299C" w14:textId="1337B32C" w:rsidR="001F6BF1" w:rsidRDefault="001F6BF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C6D0A" w14:textId="77777777" w:rsidR="007239C3" w:rsidRDefault="007239C3">
      <w:pPr>
        <w:spacing w:line="240" w:lineRule="auto"/>
      </w:pPr>
      <w:r>
        <w:separator/>
      </w:r>
    </w:p>
  </w:footnote>
  <w:footnote w:type="continuationSeparator" w:id="0">
    <w:p w14:paraId="06CE1792" w14:textId="77777777" w:rsidR="007239C3" w:rsidRDefault="007239C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53125584">
    <w:abstractNumId w:val="8"/>
  </w:num>
  <w:num w:numId="2" w16cid:durableId="1553275427">
    <w:abstractNumId w:val="6"/>
  </w:num>
  <w:num w:numId="3" w16cid:durableId="1862695742">
    <w:abstractNumId w:val="5"/>
  </w:num>
  <w:num w:numId="4" w16cid:durableId="153885747">
    <w:abstractNumId w:val="4"/>
  </w:num>
  <w:num w:numId="5" w16cid:durableId="842083853">
    <w:abstractNumId w:val="7"/>
  </w:num>
  <w:num w:numId="6" w16cid:durableId="286786525">
    <w:abstractNumId w:val="3"/>
  </w:num>
  <w:num w:numId="7" w16cid:durableId="1803839674">
    <w:abstractNumId w:val="2"/>
  </w:num>
  <w:num w:numId="8" w16cid:durableId="1877348802">
    <w:abstractNumId w:val="1"/>
  </w:num>
  <w:num w:numId="9" w16cid:durableId="911041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0261"/>
    <w:rsid w:val="001E35B7"/>
    <w:rsid w:val="001F6BF1"/>
    <w:rsid w:val="00275B9C"/>
    <w:rsid w:val="0029639D"/>
    <w:rsid w:val="00326F90"/>
    <w:rsid w:val="00362A0A"/>
    <w:rsid w:val="0043119A"/>
    <w:rsid w:val="00532DE9"/>
    <w:rsid w:val="005D66E5"/>
    <w:rsid w:val="00616757"/>
    <w:rsid w:val="00670797"/>
    <w:rsid w:val="007239C3"/>
    <w:rsid w:val="00772FAF"/>
    <w:rsid w:val="007B2ED6"/>
    <w:rsid w:val="007B7FA6"/>
    <w:rsid w:val="009306F8"/>
    <w:rsid w:val="00932518"/>
    <w:rsid w:val="00AA1D8D"/>
    <w:rsid w:val="00B47730"/>
    <w:rsid w:val="00B57CE8"/>
    <w:rsid w:val="00BA0EEC"/>
    <w:rsid w:val="00CB0664"/>
    <w:rsid w:val="00CE3E02"/>
    <w:rsid w:val="00CF04F9"/>
    <w:rsid w:val="00D357CB"/>
    <w:rsid w:val="00DD5AF8"/>
    <w:rsid w:val="00E435B6"/>
    <w:rsid w:val="00F749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9E8F2E"/>
  <w14:defaultImageDpi w14:val="300"/>
  <w15:docId w15:val="{D54DFDA3-7BF8-4BD8-8C0A-4622F394A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ind w:firstLine="709"/>
      <w:jc w:val="both"/>
    </w:pPr>
    <w:rPr>
      <w:rFonts w:ascii="Arial" w:eastAsia="Arial" w:hAnsi="Arial"/>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X">
    <w:name w:val="TitleX"/>
    <w:pPr>
      <w:spacing w:before="120" w:after="60" w:line="360" w:lineRule="auto"/>
    </w:pPr>
    <w:rPr>
      <w:rFonts w:ascii="Arial" w:eastAsia="Arial" w:hAnsi="Arial"/>
      <w:b/>
      <w:sz w:val="32"/>
    </w:rPr>
  </w:style>
  <w:style w:type="paragraph" w:customStyle="1" w:styleId="HeadingX">
    <w:name w:val="HeadingX"/>
    <w:pPr>
      <w:spacing w:before="120" w:after="60" w:line="360" w:lineRule="auto"/>
    </w:pPr>
    <w:rPr>
      <w:rFonts w:ascii="Arial" w:eastAsia="Arial" w:hAnsi="Arial"/>
      <w:b/>
      <w:sz w:val="26"/>
    </w:rPr>
  </w:style>
  <w:style w:type="paragraph" w:customStyle="1" w:styleId="SubheadingX">
    <w:name w:val="SubheadingX"/>
    <w:pPr>
      <w:spacing w:before="120" w:after="60" w:line="360" w:lineRule="auto"/>
    </w:pPr>
    <w:rPr>
      <w:rFonts w:ascii="Arial" w:eastAsia="Arial" w:hAnsi="Arial"/>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7015</Words>
  <Characters>39990</Characters>
  <Application>Microsoft Office Word</Application>
  <DocSecurity>0</DocSecurity>
  <Lines>333</Lines>
  <Paragraphs>93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Manager/>
  <Company/>
  <LinksUpToDate>false</LinksUpToDate>
  <CharactersWithSpaces>46912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Claudiu Ardelean</dc:creator>
  <cp:keywords/>
  <dc:description>generated by python-docx</dc:description>
  <cp:lastModifiedBy>Zsolt Haidu</cp:lastModifiedBy>
  <cp:revision>14</cp:revision>
  <cp:lastPrinted>2026-10-12T10:56:00Z</cp:lastPrinted>
  <dcterms:created xsi:type="dcterms:W3CDTF">2026-09-25T12:12:00Z</dcterms:created>
  <dcterms:modified xsi:type="dcterms:W3CDTF">2026-10-12T10:56:00Z</dcterms:modified>
  <cp:category/>
</cp:coreProperties>
</file>